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0"/>
        <w:jc w:val="center"/>
      </w:pPr>
      <w:r>
        <w:rPr>
          <w:b/>
          <w:sz w:val="40"/>
        </w:rPr>
        <w:t>Optimizing Hospital Resource Allocation Using Artificial Intelligence and Predictive Analytics</w:t>
      </w:r>
    </w:p>
    <w:p>
      <w:pPr>
        <w:spacing w:after="60" w:before="0"/>
        <w:jc w:val="center"/>
      </w:pPr>
      <w:r>
        <w:rPr>
          <w:i/>
          <w:sz w:val="28"/>
        </w:rPr>
        <w:t>Executive Presentation Summary</w:t>
      </w:r>
    </w:p>
    <w:p>
      <w:pPr>
        <w:spacing w:after="60" w:before="0"/>
      </w:pPr>
      <w:r>
        <w:br/>
      </w:r>
    </w:p>
    <w:p>
      <w:pPr>
        <w:spacing w:after="60" w:before="0"/>
        <w:jc w:val="center"/>
      </w:pPr>
      <w:r>
        <w:t>Sara Seri</w:t>
        <w:br/>
        <w:t>Master of Science in Business Analytics</w:t>
        <w:br/>
        <w:t>Grand Canyon University</w:t>
        <w:br/>
        <w:t>2026</w:t>
      </w:r>
    </w:p>
    <w:p>
      <w:pPr>
        <w:spacing w:after="60" w:before="0"/>
      </w:pPr>
      <w:r>
        <w:br w:type="page"/>
      </w:r>
    </w:p>
    <w:p>
      <w:pPr>
        <w:pStyle w:val="Heading1"/>
        <w:spacing w:after="60" w:before="0"/>
      </w:pPr>
      <w:r>
        <w:t>Executive Overview</w:t>
      </w:r>
    </w:p>
    <w:p>
      <w:pPr>
        <w:spacing w:after="60" w:before="0"/>
      </w:pPr>
      <w:r>
        <w:t>This project develops an end-to-end hospital operations decision-support framework. CDC National Healthcare Safety Network weekly data were used to forecast next-week inpatient occupancy. The selected forecasting model was then connected to a linear optimization model that recommends surge-bed activation and supplemental nursing coverage under different demand conditions.</w:t>
      </w:r>
    </w:p>
    <w:p>
      <w:pPr>
        <w:pStyle w:val="Heading1"/>
        <w:spacing w:after="60" w:before="0"/>
      </w:pPr>
      <w:r>
        <w:t>Data Foundation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4896"/>
          </w:tcPr>
          <w:p>
            <w:r>
              <w:t>Measure</w:t>
            </w:r>
          </w:p>
        </w:tc>
        <w:tc>
          <w:tcPr>
            <w:tcW w:type="dxa" w:w="4896"/>
          </w:tcPr>
          <w:p>
            <w:r>
              <w:t>Result</w:t>
            </w:r>
          </w:p>
        </w:tc>
      </w:tr>
      <w:tr>
        <w:tc>
          <w:tcPr>
            <w:tcW w:type="dxa" w:w="4896"/>
          </w:tcPr>
          <w:p>
            <w:r>
              <w:t>Source</w:t>
            </w:r>
          </w:p>
        </w:tc>
        <w:tc>
          <w:tcPr>
            <w:tcW w:type="dxa" w:w="4896"/>
          </w:tcPr>
          <w:p>
            <w:r>
              <w:t>CDC/NHSN Weekly Hospital Respiratory Data by Jurisdiction</w:t>
            </w:r>
          </w:p>
        </w:tc>
      </w:tr>
      <w:tr>
        <w:tc>
          <w:tcPr>
            <w:tcW w:type="dxa" w:w="4896"/>
          </w:tcPr>
          <w:p>
            <w:r>
              <w:t>Original observations</w:t>
            </w:r>
          </w:p>
        </w:tc>
        <w:tc>
          <w:tcPr>
            <w:tcW w:type="dxa" w:w="4896"/>
          </w:tcPr>
          <w:p>
            <w:r>
              <w:t>20,770 weekly records</w:t>
            </w:r>
          </w:p>
        </w:tc>
      </w:tr>
      <w:tr>
        <w:tc>
          <w:tcPr>
            <w:tcW w:type="dxa" w:w="4896"/>
          </w:tcPr>
          <w:p>
            <w:r>
              <w:t>Original variables</w:t>
            </w:r>
          </w:p>
        </w:tc>
        <w:tc>
          <w:tcPr>
            <w:tcW w:type="dxa" w:w="4896"/>
          </w:tcPr>
          <w:p>
            <w:r>
              <w:t>322 variables</w:t>
            </w:r>
          </w:p>
        </w:tc>
      </w:tr>
      <w:tr>
        <w:tc>
          <w:tcPr>
            <w:tcW w:type="dxa" w:w="4896"/>
          </w:tcPr>
          <w:p>
            <w:r>
              <w:t>Modeling panel</w:t>
            </w:r>
          </w:p>
        </w:tc>
        <w:tc>
          <w:tcPr>
            <w:tcW w:type="dxa" w:w="4896"/>
          </w:tcPr>
          <w:p>
            <w:r>
              <w:t>17,360 state/territory-week records</w:t>
            </w:r>
          </w:p>
        </w:tc>
      </w:tr>
      <w:tr>
        <w:tc>
          <w:tcPr>
            <w:tcW w:type="dxa" w:w="4896"/>
          </w:tcPr>
          <w:p>
            <w:r>
              <w:t>Time coverage</w:t>
            </w:r>
          </w:p>
        </w:tc>
        <w:tc>
          <w:tcPr>
            <w:tcW w:type="dxa" w:w="4896"/>
          </w:tcPr>
          <w:p>
            <w:r>
              <w:t>August 2020 through July 2026</w:t>
            </w:r>
          </w:p>
        </w:tc>
      </w:tr>
      <w:tr>
        <w:tc>
          <w:tcPr>
            <w:tcW w:type="dxa" w:w="4896"/>
          </w:tcPr>
          <w:p>
            <w:r>
              <w:t>Primary target</w:t>
            </w:r>
          </w:p>
        </w:tc>
        <w:tc>
          <w:tcPr>
            <w:tcW w:type="dxa" w:w="4896"/>
          </w:tcPr>
          <w:p>
            <w:r>
              <w:t>Next-week inpatient occupancy percentage</w:t>
            </w:r>
          </w:p>
        </w:tc>
      </w:tr>
    </w:tbl>
    <w:p>
      <w:pPr>
        <w:pStyle w:val="Heading1"/>
        <w:spacing w:after="60" w:before="0"/>
      </w:pPr>
      <w:r>
        <w:t>Forecasting Results</w:t>
      </w:r>
    </w:p>
    <w:p>
      <w:pPr>
        <w:spacing w:after="60" w:before="0"/>
      </w:pPr>
      <w:r>
        <w:t>Four forecasting approaches were compared using chronological 70/30, 80/20, and 95/5 train-test partitions. XGBoost achieved the lowest average forecast error and was selected as the leading model.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958"/>
        <w:gridCol w:w="1958"/>
        <w:gridCol w:w="1958"/>
        <w:gridCol w:w="1958"/>
        <w:gridCol w:w="1958"/>
      </w:tblGrid>
      <w:tr>
        <w:tc>
          <w:tcPr>
            <w:tcW w:type="dxa" w:w="1958"/>
          </w:tcPr>
          <w:p>
            <w:r>
              <w:t>Model</w:t>
            </w:r>
          </w:p>
        </w:tc>
        <w:tc>
          <w:tcPr>
            <w:tcW w:type="dxa" w:w="1958"/>
          </w:tcPr>
          <w:p>
            <w:r>
              <w:t>Mean RMSE</w:t>
            </w:r>
          </w:p>
        </w:tc>
        <w:tc>
          <w:tcPr>
            <w:tcW w:type="dxa" w:w="1958"/>
          </w:tcPr>
          <w:p>
            <w:r>
              <w:t>Mean MAE</w:t>
            </w:r>
          </w:p>
        </w:tc>
        <w:tc>
          <w:tcPr>
            <w:tcW w:type="dxa" w:w="1958"/>
          </w:tcPr>
          <w:p>
            <w:r>
              <w:t>Mean R²</w:t>
            </w:r>
          </w:p>
        </w:tc>
        <w:tc>
          <w:tcPr>
            <w:tcW w:type="dxa" w:w="1958"/>
          </w:tcPr>
          <w:p>
            <w:r>
              <w:t>Within 3 Points</w:t>
            </w:r>
          </w:p>
        </w:tc>
      </w:tr>
      <w:tr>
        <w:tc>
          <w:tcPr>
            <w:tcW w:type="dxa" w:w="1958"/>
          </w:tcPr>
          <w:p>
            <w:r>
              <w:t>Persistence Baseline</w:t>
            </w:r>
          </w:p>
        </w:tc>
        <w:tc>
          <w:tcPr>
            <w:tcW w:type="dxa" w:w="1958"/>
          </w:tcPr>
          <w:p>
            <w:r>
              <w:t>3.114</w:t>
            </w:r>
          </w:p>
        </w:tc>
        <w:tc>
          <w:tcPr>
            <w:tcW w:type="dxa" w:w="1958"/>
          </w:tcPr>
          <w:p>
            <w:r>
              <w:t>1.900</w:t>
            </w:r>
          </w:p>
        </w:tc>
        <w:tc>
          <w:tcPr>
            <w:tcW w:type="dxa" w:w="1958"/>
          </w:tcPr>
          <w:p>
            <w:r>
              <w:t>0.891</w:t>
            </w:r>
          </w:p>
        </w:tc>
        <w:tc>
          <w:tcPr>
            <w:tcW w:type="dxa" w:w="1958"/>
          </w:tcPr>
          <w:p>
            <w:r>
              <w:t>82.74%</w:t>
            </w:r>
          </w:p>
        </w:tc>
      </w:tr>
      <w:tr>
        <w:tc>
          <w:tcPr>
            <w:tcW w:type="dxa" w:w="1958"/>
          </w:tcPr>
          <w:p>
            <w:r>
              <w:t>Linear Regression</w:t>
            </w:r>
          </w:p>
        </w:tc>
        <w:tc>
          <w:tcPr>
            <w:tcW w:type="dxa" w:w="1958"/>
          </w:tcPr>
          <w:p>
            <w:r>
              <w:t>2.922</w:t>
            </w:r>
          </w:p>
        </w:tc>
        <w:tc>
          <w:tcPr>
            <w:tcW w:type="dxa" w:w="1958"/>
          </w:tcPr>
          <w:p>
            <w:r>
              <w:t>1.831</w:t>
            </w:r>
          </w:p>
        </w:tc>
        <w:tc>
          <w:tcPr>
            <w:tcW w:type="dxa" w:w="1958"/>
          </w:tcPr>
          <w:p>
            <w:r>
              <w:t>0.905</w:t>
            </w:r>
          </w:p>
        </w:tc>
        <w:tc>
          <w:tcPr>
            <w:tcW w:type="dxa" w:w="1958"/>
          </w:tcPr>
          <w:p>
            <w:r>
              <w:t>83.35%</w:t>
            </w:r>
          </w:p>
        </w:tc>
      </w:tr>
      <w:tr>
        <w:tc>
          <w:tcPr>
            <w:tcW w:type="dxa" w:w="1958"/>
          </w:tcPr>
          <w:p>
            <w:r>
              <w:t>Random Forest</w:t>
            </w:r>
          </w:p>
        </w:tc>
        <w:tc>
          <w:tcPr>
            <w:tcW w:type="dxa" w:w="1958"/>
          </w:tcPr>
          <w:p>
            <w:r>
              <w:t>2.899</w:t>
            </w:r>
          </w:p>
        </w:tc>
        <w:tc>
          <w:tcPr>
            <w:tcW w:type="dxa" w:w="1958"/>
          </w:tcPr>
          <w:p>
            <w:r>
              <w:t>1.811</w:t>
            </w:r>
          </w:p>
        </w:tc>
        <w:tc>
          <w:tcPr>
            <w:tcW w:type="dxa" w:w="1958"/>
          </w:tcPr>
          <w:p>
            <w:r>
              <w:t>0.906</w:t>
            </w:r>
          </w:p>
        </w:tc>
        <w:tc>
          <w:tcPr>
            <w:tcW w:type="dxa" w:w="1958"/>
          </w:tcPr>
          <w:p>
            <w:r>
              <w:t>83.81%</w:t>
            </w:r>
          </w:p>
        </w:tc>
      </w:tr>
      <w:tr>
        <w:tc>
          <w:tcPr>
            <w:tcW w:type="dxa" w:w="1958"/>
          </w:tcPr>
          <w:p>
            <w:r>
              <w:t>XGBoost</w:t>
            </w:r>
          </w:p>
        </w:tc>
        <w:tc>
          <w:tcPr>
            <w:tcW w:type="dxa" w:w="1958"/>
          </w:tcPr>
          <w:p>
            <w:r>
              <w:t>2.888</w:t>
            </w:r>
          </w:p>
        </w:tc>
        <w:tc>
          <w:tcPr>
            <w:tcW w:type="dxa" w:w="1958"/>
          </w:tcPr>
          <w:p>
            <w:r>
              <w:t>1.805</w:t>
            </w:r>
          </w:p>
        </w:tc>
        <w:tc>
          <w:tcPr>
            <w:tcW w:type="dxa" w:w="1958"/>
          </w:tcPr>
          <w:p>
            <w:r>
              <w:t>0.907</w:t>
            </w:r>
          </w:p>
        </w:tc>
        <w:tc>
          <w:tcPr>
            <w:tcW w:type="dxa" w:w="1958"/>
          </w:tcPr>
          <w:p>
            <w:r>
              <w:t>83.75%</w:t>
            </w:r>
          </w:p>
        </w:tc>
      </w:tr>
    </w:tbl>
    <w:p>
      <w:pPr>
        <w:spacing w:after="60" w:before="0"/>
      </w:pPr>
      <w:r>
        <w:drawing>
          <wp:inline xmlns:a="http://schemas.openxmlformats.org/drawingml/2006/main" xmlns:pic="http://schemas.openxmlformats.org/drawingml/2006/picture">
            <wp:extent cx="5852160" cy="32512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ure_6_model_rmse_comparison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32512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60" w:before="0"/>
        <w:jc w:val="center"/>
      </w:pPr>
      <w:r>
        <w:rPr>
          <w:i/>
        </w:rPr>
        <w:t>Figure 1. Forecast RMSE across chronological train-test splits.</w:t>
      </w:r>
    </w:p>
    <w:p>
      <w:pPr>
        <w:spacing w:after="60" w:before="0"/>
      </w:pPr>
      <w:r>
        <w:t>On the 80/20 test split, XGBoost produced an RMSE of 2.593 occupancy percentage points, an MAE of 1.655, an R² of 0.924, and 85.28% of forecasts within three occupancy points of the observed value.</w:t>
      </w:r>
    </w:p>
    <w:p>
      <w:pPr>
        <w:spacing w:after="60" w:before="0"/>
      </w:pPr>
      <w:r>
        <w:drawing>
          <wp:inline xmlns:a="http://schemas.openxmlformats.org/drawingml/2006/main" xmlns:pic="http://schemas.openxmlformats.org/drawingml/2006/picture">
            <wp:extent cx="5852160" cy="292608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ure_7_actual_vs_predicted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29260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60" w:before="0"/>
        <w:jc w:val="center"/>
      </w:pPr>
      <w:r>
        <w:rPr>
          <w:i/>
        </w:rPr>
        <w:t>Figure 2. Actual and predicted next-week inpatient occupancy.</w:t>
      </w:r>
    </w:p>
    <w:p>
      <w:pPr>
        <w:pStyle w:val="Heading1"/>
        <w:spacing w:after="60" w:before="0"/>
      </w:pPr>
      <w:r>
        <w:t>Key Predictive Drivers</w:t>
      </w:r>
    </w:p>
    <w:p>
      <w:pPr>
        <w:spacing w:after="60" w:before="0"/>
      </w:pPr>
      <w:r>
        <w:t>The most influential signals were current and recent inpatient occupancy, four-week occupancy trends, ICU occupancy, the Operational Stress Index, and respiratory admissions. These findings show that short-term hospital demand is persistent but is also affected by changing clinical and respiratory conditions.</w:t>
      </w:r>
    </w:p>
    <w:p>
      <w:pPr>
        <w:spacing w:after="60" w:before="0"/>
      </w:pPr>
      <w:r>
        <w:drawing>
          <wp:inline xmlns:a="http://schemas.openxmlformats.org/drawingml/2006/main" xmlns:pic="http://schemas.openxmlformats.org/drawingml/2006/picture">
            <wp:extent cx="5760720" cy="384048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ure_9_feature_importanc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404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60" w:before="0"/>
        <w:jc w:val="center"/>
      </w:pPr>
      <w:r>
        <w:rPr>
          <w:i/>
        </w:rPr>
        <w:t>Figure 3. Most influential forecasting features.</w:t>
      </w:r>
    </w:p>
    <w:p>
      <w:pPr>
        <w:pStyle w:val="Heading1"/>
        <w:spacing w:after="60" w:before="0"/>
      </w:pPr>
      <w:r>
        <w:t>Resource Optimization Results</w:t>
      </w:r>
    </w:p>
    <w:p>
      <w:pPr>
        <w:spacing w:after="60" w:before="0"/>
      </w:pPr>
      <w:r>
        <w:t>The selected forecast was translated into prescriptive recommendations using a transparent linear-programming model. Because the public CDC dataset does not contain individual hospital staffing costs or licensed-bed details, the optimization uses a standardized 500-bed reference hospital. These assumptions are illustrative and should be replaced with facility-specific inputs before deployment.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958"/>
        <w:gridCol w:w="1958"/>
        <w:gridCol w:w="1958"/>
        <w:gridCol w:w="1958"/>
        <w:gridCol w:w="1958"/>
      </w:tblGrid>
      <w:tr>
        <w:tc>
          <w:tcPr>
            <w:tcW w:type="dxa" w:w="1958"/>
          </w:tcPr>
          <w:p>
            <w:r>
              <w:t>Scenario</w:t>
            </w:r>
          </w:p>
        </w:tc>
        <w:tc>
          <w:tcPr>
            <w:tcW w:type="dxa" w:w="1958"/>
          </w:tcPr>
          <w:p>
            <w:r>
              <w:t>Forecast Occupancy</w:t>
            </w:r>
          </w:p>
        </w:tc>
        <w:tc>
          <w:tcPr>
            <w:tcW w:type="dxa" w:w="1958"/>
          </w:tcPr>
          <w:p>
            <w:r>
              <w:t>Surge Beds</w:t>
            </w:r>
          </w:p>
        </w:tc>
        <w:tc>
          <w:tcPr>
            <w:tcW w:type="dxa" w:w="1958"/>
          </w:tcPr>
          <w:p>
            <w:r>
              <w:t>Additional Nurses/Shift</w:t>
            </w:r>
          </w:p>
        </w:tc>
        <w:tc>
          <w:tcPr>
            <w:tcW w:type="dxa" w:w="1958"/>
          </w:tcPr>
          <w:p>
            <w:r>
              <w:t>Unmet Demand</w:t>
            </w:r>
          </w:p>
        </w:tc>
      </w:tr>
      <w:tr>
        <w:tc>
          <w:tcPr>
            <w:tcW w:type="dxa" w:w="1958"/>
          </w:tcPr>
          <w:p>
            <w:r>
              <w:t>Typical Demand</w:t>
            </w:r>
          </w:p>
        </w:tc>
        <w:tc>
          <w:tcPr>
            <w:tcW w:type="dxa" w:w="1958"/>
          </w:tcPr>
          <w:p>
            <w:r>
              <w:t>72.09%</w:t>
            </w:r>
          </w:p>
        </w:tc>
        <w:tc>
          <w:tcPr>
            <w:tcW w:type="dxa" w:w="1958"/>
          </w:tcPr>
          <w:p>
            <w:r>
              <w:t>0</w:t>
            </w:r>
          </w:p>
        </w:tc>
        <w:tc>
          <w:tcPr>
            <w:tcW w:type="dxa" w:w="1958"/>
          </w:tcPr>
          <w:p>
            <w:r>
              <w:t>0</w:t>
            </w:r>
          </w:p>
        </w:tc>
        <w:tc>
          <w:tcPr>
            <w:tcW w:type="dxa" w:w="1958"/>
          </w:tcPr>
          <w:p>
            <w:r>
              <w:t>0</w:t>
            </w:r>
          </w:p>
        </w:tc>
      </w:tr>
      <w:tr>
        <w:tc>
          <w:tcPr>
            <w:tcW w:type="dxa" w:w="1958"/>
          </w:tcPr>
          <w:p>
            <w:r>
              <w:t>Elevated Demand</w:t>
            </w:r>
          </w:p>
        </w:tc>
        <w:tc>
          <w:tcPr>
            <w:tcW w:type="dxa" w:w="1958"/>
          </w:tcPr>
          <w:p>
            <w:r>
              <w:t>76.82%</w:t>
            </w:r>
          </w:p>
        </w:tc>
        <w:tc>
          <w:tcPr>
            <w:tcW w:type="dxa" w:w="1958"/>
          </w:tcPr>
          <w:p>
            <w:r>
              <w:t>4</w:t>
            </w:r>
          </w:p>
        </w:tc>
        <w:tc>
          <w:tcPr>
            <w:tcW w:type="dxa" w:w="1958"/>
          </w:tcPr>
          <w:p>
            <w:r>
              <w:t>1</w:t>
            </w:r>
          </w:p>
        </w:tc>
        <w:tc>
          <w:tcPr>
            <w:tcW w:type="dxa" w:w="1958"/>
          </w:tcPr>
          <w:p>
            <w:r>
              <w:t>0</w:t>
            </w:r>
          </w:p>
        </w:tc>
      </w:tr>
      <w:tr>
        <w:tc>
          <w:tcPr>
            <w:tcW w:type="dxa" w:w="1958"/>
          </w:tcPr>
          <w:p>
            <w:r>
              <w:t>High Demand</w:t>
            </w:r>
          </w:p>
        </w:tc>
        <w:tc>
          <w:tcPr>
            <w:tcW w:type="dxa" w:w="1958"/>
          </w:tcPr>
          <w:p>
            <w:r>
              <w:t>80.63%</w:t>
            </w:r>
          </w:p>
        </w:tc>
        <w:tc>
          <w:tcPr>
            <w:tcW w:type="dxa" w:w="1958"/>
          </w:tcPr>
          <w:p>
            <w:r>
              <w:t>24</w:t>
            </w:r>
          </w:p>
        </w:tc>
        <w:tc>
          <w:tcPr>
            <w:tcW w:type="dxa" w:w="1958"/>
          </w:tcPr>
          <w:p>
            <w:r>
              <w:t>5</w:t>
            </w:r>
          </w:p>
        </w:tc>
        <w:tc>
          <w:tcPr>
            <w:tcW w:type="dxa" w:w="1958"/>
          </w:tcPr>
          <w:p>
            <w:r>
              <w:t>0</w:t>
            </w:r>
          </w:p>
        </w:tc>
      </w:tr>
      <w:tr>
        <w:tc>
          <w:tcPr>
            <w:tcW w:type="dxa" w:w="1958"/>
          </w:tcPr>
          <w:p>
            <w:r>
              <w:t>Critical Demand</w:t>
            </w:r>
          </w:p>
        </w:tc>
        <w:tc>
          <w:tcPr>
            <w:tcW w:type="dxa" w:w="1958"/>
          </w:tcPr>
          <w:p>
            <w:r>
              <w:t>83.07%</w:t>
            </w:r>
          </w:p>
        </w:tc>
        <w:tc>
          <w:tcPr>
            <w:tcW w:type="dxa" w:w="1958"/>
          </w:tcPr>
          <w:p>
            <w:r>
              <w:t>37</w:t>
            </w:r>
          </w:p>
        </w:tc>
        <w:tc>
          <w:tcPr>
            <w:tcW w:type="dxa" w:w="1958"/>
          </w:tcPr>
          <w:p>
            <w:r>
              <w:t>8</w:t>
            </w:r>
          </w:p>
        </w:tc>
        <w:tc>
          <w:tcPr>
            <w:tcW w:type="dxa" w:w="1958"/>
          </w:tcPr>
          <w:p>
            <w:r>
              <w:t>0</w:t>
            </w:r>
          </w:p>
        </w:tc>
      </w:tr>
    </w:tbl>
    <w:p>
      <w:pPr>
        <w:spacing w:after="60" w:before="0"/>
      </w:pPr>
      <w:r>
        <w:drawing>
          <wp:inline xmlns:a="http://schemas.openxmlformats.org/drawingml/2006/main" xmlns:pic="http://schemas.openxmlformats.org/drawingml/2006/picture">
            <wp:extent cx="5760720" cy="320040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ure_11_optimized_bed_capacity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00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60" w:before="0"/>
        <w:jc w:val="center"/>
      </w:pPr>
      <w:r>
        <w:rPr>
          <w:i/>
        </w:rPr>
        <w:t>Figure 4. Forecast demand and optimized bed capacity.</w:t>
      </w:r>
    </w:p>
    <w:p>
      <w:pPr>
        <w:pStyle w:val="Heading1"/>
        <w:spacing w:after="60" w:before="0"/>
      </w:pPr>
      <w:r>
        <w:t>Executive Recommendations</w:t>
      </w:r>
    </w:p>
    <w:p>
      <w:pPr>
        <w:pStyle w:val="ListBullet"/>
        <w:spacing w:after="60" w:before="0"/>
      </w:pPr>
      <w:r>
        <w:t>Run the occupancy forecast weekly and distribute results to operations, nursing, and capacity-management leadership.</w:t>
      </w:r>
    </w:p>
    <w:p>
      <w:pPr>
        <w:pStyle w:val="ListBullet"/>
        <w:spacing w:after="60" w:before="0"/>
      </w:pPr>
      <w:r>
        <w:t>Use forecast thresholds to activate flexible staffing and surge capacity before occupancy reaches critical levels.</w:t>
      </w:r>
    </w:p>
    <w:p>
      <w:pPr>
        <w:pStyle w:val="ListBullet"/>
        <w:spacing w:after="60" w:before="0"/>
      </w:pPr>
      <w:r>
        <w:t>Monitor MAE, RMSE, forecast bias, and predictions within three occupancy points to detect model drift.</w:t>
      </w:r>
    </w:p>
    <w:p>
      <w:pPr>
        <w:pStyle w:val="ListBullet"/>
        <w:spacing w:after="60" w:before="0"/>
      </w:pPr>
      <w:r>
        <w:t>Replace the illustrative optimization assumptions with hospital-specific bed, staffing, cost, and safety constraints.</w:t>
      </w:r>
    </w:p>
    <w:p>
      <w:pPr>
        <w:pStyle w:val="ListBullet"/>
        <w:spacing w:after="60" w:before="0"/>
      </w:pPr>
      <w:r>
        <w:t>Keep clinical and operational leadership in the approval loop; the framework should support, not replace, management judgment.</w:t>
      </w:r>
    </w:p>
    <w:p>
      <w:pPr>
        <w:pStyle w:val="Heading1"/>
        <w:spacing w:after="60" w:before="0"/>
      </w:pPr>
      <w:r>
        <w:t>Important Limitations</w:t>
      </w:r>
    </w:p>
    <w:p>
      <w:pPr>
        <w:spacing w:after="60" w:before="0"/>
      </w:pPr>
      <w:r>
        <w:t>The source data are aggregated by jurisdiction rather than by individual hospital. The project therefore demonstrates a scalable analytical framework, not a facility-ready staffing standard. Hospital-level deployment requires local census, unit-level capacity, staffing ratios, labor costs, transfer agreements, and governance requirements.</w:t>
      </w:r>
    </w:p>
    <w:p>
      <w:pPr>
        <w:pStyle w:val="Heading1"/>
        <w:spacing w:after="60" w:before="0"/>
      </w:pPr>
      <w:r>
        <w:t>Included Submission Materials</w:t>
      </w:r>
    </w:p>
    <w:p>
      <w:pPr>
        <w:pStyle w:val="ListBullet"/>
        <w:spacing w:after="60" w:before="0"/>
      </w:pPr>
      <w:r>
        <w:t>Phase 1 report and workbook: data understanding, quality assessment, variables, and feature engineering.</w:t>
      </w:r>
    </w:p>
    <w:p>
      <w:pPr>
        <w:pStyle w:val="ListBullet"/>
        <w:spacing w:after="60" w:before="0"/>
      </w:pPr>
      <w:r>
        <w:t>Phase 2 report and workbook: forecasting methods, model comparison, predictions, and feature importance.</w:t>
      </w:r>
    </w:p>
    <w:p>
      <w:pPr>
        <w:pStyle w:val="ListBullet"/>
        <w:spacing w:after="60" w:before="0"/>
      </w:pPr>
      <w:r>
        <w:t>Phase 3 report and workbook: optimization assumptions, resource recommendations, and sensitivity analysis.</w:t>
      </w:r>
    </w:p>
    <w:p>
      <w:pPr>
        <w:pStyle w:val="ListBullet"/>
        <w:spacing w:after="60" w:before="0"/>
      </w:pPr>
      <w:r>
        <w:t>Python scripts: reproducible data preparation, forecasting, and optimization workflow.</w:t>
      </w:r>
    </w:p>
    <w:p>
      <w:pPr>
        <w:pStyle w:val="ListBullet"/>
        <w:spacing w:after="60" w:before="0"/>
      </w:pPr>
      <w:r>
        <w:t>Original and cleaned datasets, supporting CSV tables, and fourteen publication-ready figures.</w:t>
      </w:r>
    </w:p>
    <w:sectPr w:rsidR="00FC693F" w:rsidRPr="0006063C" w:rsidSect="00034616">
      <w:footerReference w:type="default" r:id="rId13"/>
      <w:pgSz w:w="12240" w:h="15840"/>
      <w:pgMar w:top="936" w:right="1224" w:bottom="936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Sara Seri - Capstone #4 Executive Summary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1F4E7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Times New Roman" w:hAnsi="Times New Roman"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