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jc w:val="center"/>
      </w:pPr>
      <w:r>
        <w:rPr>
          <w:b/>
          <w:sz w:val="36"/>
        </w:rPr>
        <w:t>Predictive Analytics for Healthcare Cost Reduction: Using Artificial Intelligence to Identify Preventable High-Cost Patients Before Crisis Care</w:t>
      </w:r>
    </w:p>
    <w:p>
      <w:pPr>
        <w:jc w:val="center"/>
      </w:pPr>
      <w:r>
        <w:t>MIS-690 Capstone Project Thesis</w:t>
      </w:r>
    </w:p>
    <w:p>
      <w:pPr>
        <w:jc w:val="center"/>
      </w:pPr>
      <w:r>
        <w:t>Submitted to Grand Canyon University</w:t>
      </w:r>
    </w:p>
    <w:p>
      <w:pPr>
        <w:jc w:val="center"/>
      </w:pPr>
      <w:r>
        <w:t>Graduate Faculty of the Colangelo College of Business</w:t>
      </w:r>
    </w:p>
    <w:p>
      <w:pPr>
        <w:jc w:val="center"/>
      </w:pPr>
      <w:r>
        <w:t>in Partial Fulfillment of the Requirements for the Degree of</w:t>
      </w:r>
    </w:p>
    <w:p>
      <w:pPr>
        <w:jc w:val="center"/>
      </w:pPr>
      <w:r>
        <w:t>Master of Science in Business Analytics</w:t>
      </w:r>
    </w:p>
    <w:p>
      <w:pPr>
        <w:jc w:val="center"/>
      </w:pPr>
    </w:p>
    <w:p>
      <w:pPr>
        <w:jc w:val="center"/>
      </w:pPr>
      <w:r>
        <w:t>by</w:t>
      </w:r>
    </w:p>
    <w:p>
      <w:pPr>
        <w:jc w:val="center"/>
      </w:pPr>
      <w:r>
        <w:t>Sara Seri</w:t>
      </w:r>
    </w:p>
    <w:p>
      <w:pPr>
        <w:jc w:val="center"/>
      </w:pPr>
    </w:p>
    <w:p>
      <w:pPr>
        <w:jc w:val="center"/>
      </w:pPr>
      <w:r>
        <w:t>Phoenix, Arizona</w:t>
      </w:r>
    </w:p>
    <w:p>
      <w:pPr>
        <w:jc w:val="center"/>
      </w:pPr>
      <w:r>
        <w:t>July 2026</w:t>
      </w:r>
    </w:p>
    <w:p>
      <w:r>
        <w:br w:type="page"/>
      </w:r>
    </w:p>
    <w:p>
      <w:pPr>
        <w:pStyle w:val="Heading1"/>
      </w:pPr>
      <w:r>
        <w:t>Abstract</w:t>
      </w:r>
    </w:p>
    <w:p>
      <w:r>
        <w:t>This capstone project developed and evaluated machine learning models to identify individuals likely to become high-cost healthcare users before crisis-level utilization occurs. The study used the Agency for Healthcare Research and Quality Medical Expenditure Panel Survey (MEPS) HC-252 Panel 27 longitudinal file. Information available in 2022 was used to predict whether a person entered the weighted top decile of total healthcare expenditures in 2023. The analytic sample contained 8,175 individuals, and the weighted high-cost threshold was $17,749. Logistic Regression, Decision Tree, Random Forest, and XGBoost models were evaluated across 70/30, 80/20, and 95/5 train-test partitions, followed by evaluation on a sealed 10% validation set. Random Forest produced the strongest average precision-recall performance and was selected as the final model. On sealed validation data, it achieved ROC-AUC 0.817, PR-AUC 0.443, recall 0.604, precision 0.472, and top-decile lift 4.31. Prior-year expenditure, prescription volume, general health, walking limitation, and age were among the strongest predictors. The findings demonstrate that longitudinal predictive analytics can meaningfully stratify future cost risk and may support targeted care management, but the model should be deployed as decision support with clinical review, fairness monitoring, calibration checks, and continuous validation.</w:t>
      </w:r>
    </w:p>
    <w:p>
      <w:r>
        <w:rPr>
          <w:b/>
        </w:rPr>
        <w:t xml:space="preserve">Keywords: </w:t>
      </w:r>
      <w:r>
        <w:t>predictive analytics, healthcare expenditures, high-cost patients, machine learning, MEPS, random forest, population health</w:t>
      </w:r>
    </w:p>
    <w:p>
      <w:r>
        <w:br w:type="page"/>
      </w:r>
    </w:p>
    <w:p>
      <w:pPr>
        <w:pStyle w:val="Heading1"/>
      </w:pPr>
      <w:r>
        <w:t>Table of Contents</w:t>
      </w:r>
    </w:p>
    <w:p>
      <w:pPr>
        <w:pStyle w:val="ListBullet"/>
      </w:pPr>
      <w:r>
        <w:t>Abstract</w:t>
      </w:r>
    </w:p>
    <w:p>
      <w:pPr>
        <w:pStyle w:val="ListBullet"/>
      </w:pPr>
      <w:r>
        <w:t>Business Problem Identification</w:t>
      </w:r>
    </w:p>
    <w:p>
      <w:pPr>
        <w:pStyle w:val="ListBullet"/>
      </w:pPr>
      <w:r>
        <w:t>Background</w:t>
      </w:r>
    </w:p>
    <w:p>
      <w:pPr>
        <w:pStyle w:val="ListBullet"/>
      </w:pPr>
      <w:r>
        <w:t>Business Problem Statement</w:t>
      </w:r>
    </w:p>
    <w:p>
      <w:pPr>
        <w:pStyle w:val="ListBullet"/>
      </w:pPr>
      <w:r>
        <w:t>Analytics Assumptions</w:t>
      </w:r>
    </w:p>
    <w:p>
      <w:pPr>
        <w:pStyle w:val="ListBullet"/>
      </w:pPr>
      <w:r>
        <w:t>Analytics Problem Statement</w:t>
      </w:r>
    </w:p>
    <w:p>
      <w:pPr>
        <w:pStyle w:val="ListBullet"/>
      </w:pPr>
      <w:r>
        <w:t>Data Understanding, Acquisition, and Preprocessing</w:t>
      </w:r>
    </w:p>
    <w:p>
      <w:pPr>
        <w:pStyle w:val="ListBullet"/>
      </w:pPr>
      <w:r>
        <w:t>Collection of Initial Data</w:t>
      </w:r>
    </w:p>
    <w:p>
      <w:pPr>
        <w:pStyle w:val="ListBullet"/>
      </w:pPr>
      <w:r>
        <w:t>Description of Data</w:t>
      </w:r>
    </w:p>
    <w:p>
      <w:pPr>
        <w:pStyle w:val="ListBullet"/>
      </w:pPr>
      <w:r>
        <w:t>Exploration of Data</w:t>
      </w:r>
    </w:p>
    <w:p>
      <w:pPr>
        <w:pStyle w:val="ListBullet"/>
      </w:pPr>
      <w:r>
        <w:t>Verify Data Quality</w:t>
      </w:r>
    </w:p>
    <w:p>
      <w:pPr>
        <w:pStyle w:val="ListBullet"/>
      </w:pPr>
      <w:r>
        <w:t>Hypothesis Statements</w:t>
      </w:r>
    </w:p>
    <w:p>
      <w:pPr>
        <w:pStyle w:val="ListBullet"/>
      </w:pPr>
      <w:r>
        <w:t>Data Diagnostics and Descriptive Summary</w:t>
      </w:r>
    </w:p>
    <w:p>
      <w:pPr>
        <w:pStyle w:val="ListBullet"/>
      </w:pPr>
      <w:r>
        <w:t>Methodology Approach and Model Building</w:t>
      </w:r>
    </w:p>
    <w:p>
      <w:pPr>
        <w:pStyle w:val="ListBullet"/>
      </w:pPr>
      <w:r>
        <w:t>Model Evaluation</w:t>
      </w:r>
    </w:p>
    <w:p>
      <w:pPr>
        <w:pStyle w:val="ListBullet"/>
      </w:pPr>
      <w:r>
        <w:t>External Model Verification and Calibration</w:t>
      </w:r>
    </w:p>
    <w:p>
      <w:pPr>
        <w:pStyle w:val="ListBullet"/>
      </w:pPr>
      <w:r>
        <w:t>Model Deployment and Model Life Cycle</w:t>
      </w:r>
    </w:p>
    <w:p>
      <w:pPr>
        <w:pStyle w:val="ListBullet"/>
      </w:pPr>
      <w:r>
        <w:t>Recommendations</w:t>
      </w:r>
    </w:p>
    <w:p>
      <w:pPr>
        <w:pStyle w:val="ListBullet"/>
      </w:pPr>
      <w:r>
        <w:t>Conclusions</w:t>
      </w:r>
    </w:p>
    <w:p>
      <w:pPr>
        <w:pStyle w:val="ListBullet"/>
      </w:pPr>
      <w:r>
        <w:t>References</w:t>
      </w:r>
    </w:p>
    <w:p>
      <w:pPr>
        <w:pStyle w:val="ListBullet"/>
      </w:pPr>
      <w:r>
        <w:t>Appendix A: Variable Dictionary</w:t>
      </w:r>
    </w:p>
    <w:p>
      <w:r>
        <w:br w:type="page"/>
      </w:r>
    </w:p>
    <w:p>
      <w:pPr>
        <w:pStyle w:val="Heading1"/>
      </w:pPr>
      <w:r>
        <w:t>Predictive Analytics for Healthcare Cost Reduction</w:t>
      </w:r>
    </w:p>
    <w:p>
      <w:r>
        <w:t>Healthcare organizations face sustained pressure to improve outcomes while controlling expenditures. A relatively small group of patients accounts for a disproportionate share of spending, yet high-cost status is not always persistent from one year to the next. This creates a difficult operational problem: care-management resources are limited, but intervening only after hospitalization or emergency care occurs is often too late to prevent the most expensive outcomes. This project addresses that challenge by using longitudinal data and machine learning to identify individuals at elevated risk of becoming high-cost patients during the following year.</w:t>
      </w:r>
    </w:p>
    <w:p>
      <w:pPr>
        <w:pStyle w:val="Heading1"/>
      </w:pPr>
      <w:r>
        <w:t>Business Problem Identification</w:t>
      </w:r>
    </w:p>
    <w:p>
      <w:pPr>
        <w:pStyle w:val="Heading2"/>
      </w:pPr>
      <w:r>
        <w:t>Background</w:t>
      </w:r>
    </w:p>
    <w:p>
      <w:r>
        <w:t>National healthcare spending has continued to grow, while person-level expenditures remain highly concentrated. AHRQ reported that in 2022 the top 5% of people accounted for approximately half of healthcare expenses, demonstrating why high-cost patient identification is strategically important. Health systems, payers, accountable care organizations, and public programs therefore need reliable approaches for identifying patients who may benefit from preventive outreach, medication management, care coordination, transportation assistance, behavioral health support, or other interventions before costly deterioration occurs.</w:t>
      </w:r>
    </w:p>
    <w:p>
      <w:r>
        <w:t>Traditional rule-based methods often depend heavily on prior spending or a limited number of diagnoses. These approaches are interpretable but may overlook interactions between functional limitations, self-reported health, utilization, chronic conditions, socioeconomic factors, and insurance status. Predictive analytics provides a structured way to integrate these factors and assign prospective risk scores that support population-level prioritization.</w:t>
      </w:r>
    </w:p>
    <w:p>
      <w:pPr>
        <w:pStyle w:val="Heading2"/>
      </w:pPr>
      <w:r>
        <w:t>Business Problem Statement</w:t>
      </w:r>
    </w:p>
    <w:p>
      <w:r>
        <w:t>Healthcare organizations experience preventable financial and operational pressure when individuals at risk of becoming high-cost patients are identified only after emergency department use, hospitalization, or advanced disease progression. Existing reactive approaches limit opportunities for earlier intervention and may lead to inefficient allocation of care-management resources. A prospective analytics solution is needed to identify elevated future cost risk using information available before the high-cost period begins.</w:t>
      </w:r>
    </w:p>
    <w:p>
      <w:pPr>
        <w:pStyle w:val="Heading2"/>
      </w:pPr>
      <w:r>
        <w:t>Analytics Assumptions</w:t>
      </w:r>
    </w:p>
    <w:p>
      <w:pPr>
        <w:pStyle w:val="ListBullet"/>
      </w:pPr>
      <w:r>
        <w:t>Historical utilization, health status, and expenditure patterns contain information relevant to future cost risk.</w:t>
      </w:r>
    </w:p>
    <w:p>
      <w:pPr>
        <w:pStyle w:val="ListBullet"/>
      </w:pPr>
      <w:r>
        <w:t>The HC-252 longitudinal survey data are sufficiently representative for population-level analysis when survey weights are applied.</w:t>
      </w:r>
    </w:p>
    <w:p>
      <w:pPr>
        <w:pStyle w:val="ListBullet"/>
      </w:pPr>
      <w:r>
        <w:t>The model is intended for prioritization and decision support, not autonomous clinical decision-making.</w:t>
      </w:r>
    </w:p>
    <w:p>
      <w:pPr>
        <w:pStyle w:val="ListBullet"/>
      </w:pPr>
      <w:r>
        <w:t>A high-cost label based on the weighted top decile is operationally useful but does not imply that every high-cost event is preventable.</w:t>
      </w:r>
    </w:p>
    <w:p>
      <w:pPr>
        <w:pStyle w:val="ListBullet"/>
      </w:pPr>
      <w:r>
        <w:t>False negatives are particularly important because they represent high-cost patients who may not be offered preventive support.</w:t>
      </w:r>
    </w:p>
    <w:p>
      <w:pPr>
        <w:pStyle w:val="Heading2"/>
      </w:pPr>
      <w:r>
        <w:t>Analytics Problem Statement</w:t>
      </w:r>
    </w:p>
    <w:p>
      <w:r>
        <w:t>The objective is to develop supervised classification models that use 2022 demographic, socioeconomic, health-status, chronic-condition, prior-utilization, and expenditure information to predict whether an individual will be in the weighted top 10% of total healthcare expenditures in 2023. The models will be evaluated for discrimination, minority-class performance, calibration, ranking effectiveness, stability across train-test partitions, and operational usefulness.</w:t>
      </w:r>
    </w:p>
    <w:p>
      <w:pPr>
        <w:pStyle w:val="Heading1"/>
      </w:pPr>
      <w:r>
        <w:t>Data Understanding, Acquisition, and Preprocessing</w:t>
      </w:r>
    </w:p>
    <w:p>
      <w:pPr>
        <w:pStyle w:val="Heading2"/>
      </w:pPr>
      <w:r>
        <w:t>Collection of Initial Data</w:t>
      </w:r>
    </w:p>
    <w:p>
      <w:r>
        <w:t>The study used the AHRQ MEPS HC-252 Panel 27 Longitudinal Public Use File, which links information for respondents participating during 2022 and 2023. The original Excel file contained 8,292 records and 2,648 variables. After requiring a valid 2023 expenditure outcome and a positive longitudinal survey weight, the analytic sample contained 8,175 individuals. The longitudinal structure allows predictors from 2022 to be separated from the 2023 outcome, reducing temporal leakage and supporting a prospective research design.</w:t>
      </w:r>
    </w:p>
    <w:p>
      <w:pPr>
        <w:pStyle w:val="Heading2"/>
      </w:pPr>
      <w:r>
        <w:t>Description of Data</w:t>
      </w:r>
    </w:p>
    <w:p>
      <w:r>
        <w:rPr>
          <w:b/>
        </w:rPr>
        <w:t>Table 1. Selected Data Classification</w:t>
      </w:r>
    </w:p>
    <w:tbl>
      <w:tblPr>
        <w:tblStyle w:val="TableGrid"/>
        <w:tblW w:type="auto" w:w="0"/>
        <w:jc w:val="center"/>
        <w:tblLook w:firstColumn="1" w:firstRow="1" w:lastColumn="0" w:lastRow="0" w:noHBand="0" w:noVBand="1" w:val="04A0"/>
      </w:tblPr>
      <w:tblGrid>
        <w:gridCol w:w="2340"/>
        <w:gridCol w:w="2340"/>
        <w:gridCol w:w="2340"/>
        <w:gridCol w:w="2340"/>
      </w:tblGrid>
      <w:tr>
        <w:trPr>
          <w:tblHeader w:val="true"/>
        </w:trPr>
        <w:tc>
          <w:tcPr>
            <w:tcW w:type="dxa" w:w="2340"/>
            <w:shd w:fill="1F4E78"/>
          </w:tcPr>
          <w:p>
            <w:r>
              <w:rPr>
                <w:b/>
                <w:color w:val="FFFFFF"/>
                <w:sz w:val="16"/>
              </w:rPr>
              <w:t>Variable</w:t>
            </w:r>
          </w:p>
        </w:tc>
        <w:tc>
          <w:tcPr>
            <w:tcW w:type="dxa" w:w="2340"/>
            <w:shd w:fill="1F4E78"/>
          </w:tcPr>
          <w:p>
            <w:r>
              <w:rPr>
                <w:b/>
                <w:color w:val="FFFFFF"/>
                <w:sz w:val="16"/>
              </w:rPr>
              <w:t>Description</w:t>
            </w:r>
          </w:p>
        </w:tc>
        <w:tc>
          <w:tcPr>
            <w:tcW w:type="dxa" w:w="2340"/>
            <w:shd w:fill="1F4E78"/>
          </w:tcPr>
          <w:p>
            <w:r>
              <w:rPr>
                <w:b/>
                <w:color w:val="FFFFFF"/>
                <w:sz w:val="16"/>
              </w:rPr>
              <w:t>Type</w:t>
            </w:r>
          </w:p>
        </w:tc>
        <w:tc>
          <w:tcPr>
            <w:tcW w:type="dxa" w:w="2340"/>
            <w:shd w:fill="1F4E78"/>
          </w:tcPr>
          <w:p>
            <w:r>
              <w:rPr>
                <w:b/>
                <w:color w:val="FFFFFF"/>
                <w:sz w:val="16"/>
              </w:rPr>
              <w:t>Role</w:t>
            </w:r>
          </w:p>
        </w:tc>
      </w:tr>
      <w:tr>
        <w:tc>
          <w:tcPr>
            <w:tcW w:type="dxa" w:w="2340"/>
            <w:vAlign w:val="center"/>
          </w:tcPr>
          <w:p>
            <w:r>
              <w:rPr>
                <w:sz w:val="15"/>
              </w:rPr>
              <w:t>TOTEXPY2</w:t>
            </w:r>
          </w:p>
        </w:tc>
        <w:tc>
          <w:tcPr>
            <w:tcW w:type="dxa" w:w="2340"/>
            <w:vAlign w:val="center"/>
          </w:tcPr>
          <w:p>
            <w:r>
              <w:rPr>
                <w:sz w:val="15"/>
              </w:rPr>
              <w:t>2023 total healthcare expenditure</w:t>
            </w:r>
          </w:p>
        </w:tc>
        <w:tc>
          <w:tcPr>
            <w:tcW w:type="dxa" w:w="2340"/>
            <w:vAlign w:val="center"/>
          </w:tcPr>
          <w:p>
            <w:r>
              <w:rPr>
                <w:sz w:val="15"/>
              </w:rPr>
              <w:t>Numeric</w:t>
            </w:r>
          </w:p>
        </w:tc>
        <w:tc>
          <w:tcPr>
            <w:tcW w:type="dxa" w:w="2340"/>
            <w:vAlign w:val="center"/>
          </w:tcPr>
          <w:p>
            <w:r>
              <w:rPr>
                <w:sz w:val="15"/>
              </w:rPr>
              <w:t>Outcome source</w:t>
            </w:r>
          </w:p>
        </w:tc>
      </w:tr>
      <w:tr>
        <w:tc>
          <w:tcPr>
            <w:tcW w:type="dxa" w:w="2340"/>
            <w:vAlign w:val="center"/>
          </w:tcPr>
          <w:p>
            <w:r>
              <w:rPr>
                <w:sz w:val="15"/>
              </w:rPr>
              <w:t>HIGH_COST_Y2</w:t>
            </w:r>
          </w:p>
        </w:tc>
        <w:tc>
          <w:tcPr>
            <w:tcW w:type="dxa" w:w="2340"/>
            <w:vAlign w:val="center"/>
          </w:tcPr>
          <w:p>
            <w:r>
              <w:rPr>
                <w:sz w:val="15"/>
              </w:rPr>
              <w:t>Weighted top-decile 2023 expenditure indicator</w:t>
            </w:r>
          </w:p>
        </w:tc>
        <w:tc>
          <w:tcPr>
            <w:tcW w:type="dxa" w:w="2340"/>
            <w:vAlign w:val="center"/>
          </w:tcPr>
          <w:p>
            <w:r>
              <w:rPr>
                <w:sz w:val="15"/>
              </w:rPr>
              <w:t>Binary</w:t>
            </w:r>
          </w:p>
        </w:tc>
        <w:tc>
          <w:tcPr>
            <w:tcW w:type="dxa" w:w="2340"/>
            <w:vAlign w:val="center"/>
          </w:tcPr>
          <w:p>
            <w:r>
              <w:rPr>
                <w:sz w:val="15"/>
              </w:rPr>
              <w:t>Target</w:t>
            </w:r>
          </w:p>
        </w:tc>
      </w:tr>
      <w:tr>
        <w:tc>
          <w:tcPr>
            <w:tcW w:type="dxa" w:w="2340"/>
            <w:vAlign w:val="center"/>
          </w:tcPr>
          <w:p>
            <w:r>
              <w:rPr>
                <w:sz w:val="15"/>
              </w:rPr>
              <w:t>TOTEXPY1</w:t>
            </w:r>
          </w:p>
        </w:tc>
        <w:tc>
          <w:tcPr>
            <w:tcW w:type="dxa" w:w="2340"/>
            <w:vAlign w:val="center"/>
          </w:tcPr>
          <w:p>
            <w:r>
              <w:rPr>
                <w:sz w:val="15"/>
              </w:rPr>
              <w:t>2022 total healthcare expenditure</w:t>
            </w:r>
          </w:p>
        </w:tc>
        <w:tc>
          <w:tcPr>
            <w:tcW w:type="dxa" w:w="2340"/>
            <w:vAlign w:val="center"/>
          </w:tcPr>
          <w:p>
            <w:r>
              <w:rPr>
                <w:sz w:val="15"/>
              </w:rPr>
              <w:t>Numeric</w:t>
            </w:r>
          </w:p>
        </w:tc>
        <w:tc>
          <w:tcPr>
            <w:tcW w:type="dxa" w:w="2340"/>
            <w:vAlign w:val="center"/>
          </w:tcPr>
          <w:p>
            <w:r>
              <w:rPr>
                <w:sz w:val="15"/>
              </w:rPr>
              <w:t>Predictor</w:t>
            </w:r>
          </w:p>
        </w:tc>
      </w:tr>
      <w:tr>
        <w:tc>
          <w:tcPr>
            <w:tcW w:type="dxa" w:w="2340"/>
            <w:vAlign w:val="center"/>
          </w:tcPr>
          <w:p>
            <w:r>
              <w:rPr>
                <w:sz w:val="15"/>
              </w:rPr>
              <w:t>AGEY1X</w:t>
            </w:r>
          </w:p>
        </w:tc>
        <w:tc>
          <w:tcPr>
            <w:tcW w:type="dxa" w:w="2340"/>
            <w:vAlign w:val="center"/>
          </w:tcPr>
          <w:p>
            <w:r>
              <w:rPr>
                <w:sz w:val="15"/>
              </w:rPr>
              <w:t>Age in 2022</w:t>
            </w:r>
          </w:p>
        </w:tc>
        <w:tc>
          <w:tcPr>
            <w:tcW w:type="dxa" w:w="2340"/>
            <w:vAlign w:val="center"/>
          </w:tcPr>
          <w:p>
            <w:r>
              <w:rPr>
                <w:sz w:val="15"/>
              </w:rPr>
              <w:t>Numeric</w:t>
            </w:r>
          </w:p>
        </w:tc>
        <w:tc>
          <w:tcPr>
            <w:tcW w:type="dxa" w:w="2340"/>
            <w:vAlign w:val="center"/>
          </w:tcPr>
          <w:p>
            <w:r>
              <w:rPr>
                <w:sz w:val="15"/>
              </w:rPr>
              <w:t>Predictor</w:t>
            </w:r>
          </w:p>
        </w:tc>
      </w:tr>
      <w:tr>
        <w:tc>
          <w:tcPr>
            <w:tcW w:type="dxa" w:w="2340"/>
            <w:vAlign w:val="center"/>
          </w:tcPr>
          <w:p>
            <w:r>
              <w:rPr>
                <w:sz w:val="15"/>
              </w:rPr>
              <w:t>SEX</w:t>
            </w:r>
          </w:p>
        </w:tc>
        <w:tc>
          <w:tcPr>
            <w:tcW w:type="dxa" w:w="2340"/>
            <w:vAlign w:val="center"/>
          </w:tcPr>
          <w:p>
            <w:r>
              <w:rPr>
                <w:sz w:val="15"/>
              </w:rPr>
              <w:t>Sex</w:t>
            </w:r>
          </w:p>
        </w:tc>
        <w:tc>
          <w:tcPr>
            <w:tcW w:type="dxa" w:w="2340"/>
            <w:vAlign w:val="center"/>
          </w:tcPr>
          <w:p>
            <w:r>
              <w:rPr>
                <w:sz w:val="15"/>
              </w:rPr>
              <w:t>Categorical</w:t>
            </w:r>
          </w:p>
        </w:tc>
        <w:tc>
          <w:tcPr>
            <w:tcW w:type="dxa" w:w="2340"/>
            <w:vAlign w:val="center"/>
          </w:tcPr>
          <w:p>
            <w:r>
              <w:rPr>
                <w:sz w:val="15"/>
              </w:rPr>
              <w:t>Predictor</w:t>
            </w:r>
          </w:p>
        </w:tc>
      </w:tr>
      <w:tr>
        <w:tc>
          <w:tcPr>
            <w:tcW w:type="dxa" w:w="2340"/>
            <w:vAlign w:val="center"/>
          </w:tcPr>
          <w:p>
            <w:r>
              <w:rPr>
                <w:sz w:val="15"/>
              </w:rPr>
              <w:t>RACETHX</w:t>
            </w:r>
          </w:p>
        </w:tc>
        <w:tc>
          <w:tcPr>
            <w:tcW w:type="dxa" w:w="2340"/>
            <w:vAlign w:val="center"/>
          </w:tcPr>
          <w:p>
            <w:r>
              <w:rPr>
                <w:sz w:val="15"/>
              </w:rPr>
              <w:t>Race/ethnicity category</w:t>
            </w:r>
          </w:p>
        </w:tc>
        <w:tc>
          <w:tcPr>
            <w:tcW w:type="dxa" w:w="2340"/>
            <w:vAlign w:val="center"/>
          </w:tcPr>
          <w:p>
            <w:r>
              <w:rPr>
                <w:sz w:val="15"/>
              </w:rPr>
              <w:t>Categorical</w:t>
            </w:r>
          </w:p>
        </w:tc>
        <w:tc>
          <w:tcPr>
            <w:tcW w:type="dxa" w:w="2340"/>
            <w:vAlign w:val="center"/>
          </w:tcPr>
          <w:p>
            <w:r>
              <w:rPr>
                <w:sz w:val="15"/>
              </w:rPr>
              <w:t>Predictor</w:t>
            </w:r>
          </w:p>
        </w:tc>
      </w:tr>
      <w:tr>
        <w:tc>
          <w:tcPr>
            <w:tcW w:type="dxa" w:w="2340"/>
            <w:vAlign w:val="center"/>
          </w:tcPr>
          <w:p>
            <w:r>
              <w:rPr>
                <w:sz w:val="15"/>
              </w:rPr>
              <w:t>POVCATY1</w:t>
            </w:r>
          </w:p>
        </w:tc>
        <w:tc>
          <w:tcPr>
            <w:tcW w:type="dxa" w:w="2340"/>
            <w:vAlign w:val="center"/>
          </w:tcPr>
          <w:p>
            <w:r>
              <w:rPr>
                <w:sz w:val="15"/>
              </w:rPr>
              <w:t>2022 poverty category</w:t>
            </w:r>
          </w:p>
        </w:tc>
        <w:tc>
          <w:tcPr>
            <w:tcW w:type="dxa" w:w="2340"/>
            <w:vAlign w:val="center"/>
          </w:tcPr>
          <w:p>
            <w:r>
              <w:rPr>
                <w:sz w:val="15"/>
              </w:rPr>
              <w:t>Ordinal</w:t>
            </w:r>
          </w:p>
        </w:tc>
        <w:tc>
          <w:tcPr>
            <w:tcW w:type="dxa" w:w="2340"/>
            <w:vAlign w:val="center"/>
          </w:tcPr>
          <w:p>
            <w:r>
              <w:rPr>
                <w:sz w:val="15"/>
              </w:rPr>
              <w:t>Predictor</w:t>
            </w:r>
          </w:p>
        </w:tc>
      </w:tr>
      <w:tr>
        <w:tc>
          <w:tcPr>
            <w:tcW w:type="dxa" w:w="2340"/>
            <w:vAlign w:val="center"/>
          </w:tcPr>
          <w:p>
            <w:r>
              <w:rPr>
                <w:sz w:val="15"/>
              </w:rPr>
              <w:t>INSCOVY1</w:t>
            </w:r>
          </w:p>
        </w:tc>
        <w:tc>
          <w:tcPr>
            <w:tcW w:type="dxa" w:w="2340"/>
            <w:vAlign w:val="center"/>
          </w:tcPr>
          <w:p>
            <w:r>
              <w:rPr>
                <w:sz w:val="15"/>
              </w:rPr>
              <w:t>2022 insurance coverage</w:t>
            </w:r>
          </w:p>
        </w:tc>
        <w:tc>
          <w:tcPr>
            <w:tcW w:type="dxa" w:w="2340"/>
            <w:vAlign w:val="center"/>
          </w:tcPr>
          <w:p>
            <w:r>
              <w:rPr>
                <w:sz w:val="15"/>
              </w:rPr>
              <w:t>Categorical</w:t>
            </w:r>
          </w:p>
        </w:tc>
        <w:tc>
          <w:tcPr>
            <w:tcW w:type="dxa" w:w="2340"/>
            <w:vAlign w:val="center"/>
          </w:tcPr>
          <w:p>
            <w:r>
              <w:rPr>
                <w:sz w:val="15"/>
              </w:rPr>
              <w:t>Predictor</w:t>
            </w:r>
          </w:p>
        </w:tc>
      </w:tr>
      <w:tr>
        <w:tc>
          <w:tcPr>
            <w:tcW w:type="dxa" w:w="2340"/>
            <w:vAlign w:val="center"/>
          </w:tcPr>
          <w:p>
            <w:r>
              <w:rPr>
                <w:sz w:val="15"/>
              </w:rPr>
              <w:t>RTHLTH3</w:t>
            </w:r>
          </w:p>
        </w:tc>
        <w:tc>
          <w:tcPr>
            <w:tcW w:type="dxa" w:w="2340"/>
            <w:vAlign w:val="center"/>
          </w:tcPr>
          <w:p>
            <w:r>
              <w:rPr>
                <w:sz w:val="15"/>
              </w:rPr>
              <w:t>Self-reported general health</w:t>
            </w:r>
          </w:p>
        </w:tc>
        <w:tc>
          <w:tcPr>
            <w:tcW w:type="dxa" w:w="2340"/>
            <w:vAlign w:val="center"/>
          </w:tcPr>
          <w:p>
            <w:r>
              <w:rPr>
                <w:sz w:val="15"/>
              </w:rPr>
              <w:t>Ordinal</w:t>
            </w:r>
          </w:p>
        </w:tc>
        <w:tc>
          <w:tcPr>
            <w:tcW w:type="dxa" w:w="2340"/>
            <w:vAlign w:val="center"/>
          </w:tcPr>
          <w:p>
            <w:r>
              <w:rPr>
                <w:sz w:val="15"/>
              </w:rPr>
              <w:t>Predictor</w:t>
            </w:r>
          </w:p>
        </w:tc>
      </w:tr>
      <w:tr>
        <w:tc>
          <w:tcPr>
            <w:tcW w:type="dxa" w:w="2340"/>
            <w:vAlign w:val="center"/>
          </w:tcPr>
          <w:p>
            <w:r>
              <w:rPr>
                <w:sz w:val="15"/>
              </w:rPr>
              <w:t>MNHLTH3</w:t>
            </w:r>
          </w:p>
        </w:tc>
        <w:tc>
          <w:tcPr>
            <w:tcW w:type="dxa" w:w="2340"/>
            <w:vAlign w:val="center"/>
          </w:tcPr>
          <w:p>
            <w:r>
              <w:rPr>
                <w:sz w:val="15"/>
              </w:rPr>
              <w:t>Self-reported mental health</w:t>
            </w:r>
          </w:p>
        </w:tc>
        <w:tc>
          <w:tcPr>
            <w:tcW w:type="dxa" w:w="2340"/>
            <w:vAlign w:val="center"/>
          </w:tcPr>
          <w:p>
            <w:r>
              <w:rPr>
                <w:sz w:val="15"/>
              </w:rPr>
              <w:t>Ordinal</w:t>
            </w:r>
          </w:p>
        </w:tc>
        <w:tc>
          <w:tcPr>
            <w:tcW w:type="dxa" w:w="2340"/>
            <w:vAlign w:val="center"/>
          </w:tcPr>
          <w:p>
            <w:r>
              <w:rPr>
                <w:sz w:val="15"/>
              </w:rPr>
              <w:t>Predictor</w:t>
            </w:r>
          </w:p>
        </w:tc>
      </w:tr>
      <w:tr>
        <w:tc>
          <w:tcPr>
            <w:tcW w:type="dxa" w:w="2340"/>
            <w:vAlign w:val="center"/>
          </w:tcPr>
          <w:p>
            <w:r>
              <w:rPr>
                <w:sz w:val="15"/>
              </w:rPr>
              <w:t>ERTOTY1</w:t>
            </w:r>
          </w:p>
        </w:tc>
        <w:tc>
          <w:tcPr>
            <w:tcW w:type="dxa" w:w="2340"/>
            <w:vAlign w:val="center"/>
          </w:tcPr>
          <w:p>
            <w:r>
              <w:rPr>
                <w:sz w:val="15"/>
              </w:rPr>
              <w:t>2022 emergency visits</w:t>
            </w:r>
          </w:p>
        </w:tc>
        <w:tc>
          <w:tcPr>
            <w:tcW w:type="dxa" w:w="2340"/>
            <w:vAlign w:val="center"/>
          </w:tcPr>
          <w:p>
            <w:r>
              <w:rPr>
                <w:sz w:val="15"/>
              </w:rPr>
              <w:t>Count</w:t>
            </w:r>
          </w:p>
        </w:tc>
        <w:tc>
          <w:tcPr>
            <w:tcW w:type="dxa" w:w="2340"/>
            <w:vAlign w:val="center"/>
          </w:tcPr>
          <w:p>
            <w:r>
              <w:rPr>
                <w:sz w:val="15"/>
              </w:rPr>
              <w:t>Predictor</w:t>
            </w:r>
          </w:p>
        </w:tc>
      </w:tr>
      <w:tr>
        <w:tc>
          <w:tcPr>
            <w:tcW w:type="dxa" w:w="2340"/>
            <w:vAlign w:val="center"/>
          </w:tcPr>
          <w:p>
            <w:r>
              <w:rPr>
                <w:sz w:val="15"/>
              </w:rPr>
              <w:t>IPDISY1</w:t>
            </w:r>
          </w:p>
        </w:tc>
        <w:tc>
          <w:tcPr>
            <w:tcW w:type="dxa" w:w="2340"/>
            <w:vAlign w:val="center"/>
          </w:tcPr>
          <w:p>
            <w:r>
              <w:rPr>
                <w:sz w:val="15"/>
              </w:rPr>
              <w:t>2022 inpatient discharges</w:t>
            </w:r>
          </w:p>
        </w:tc>
        <w:tc>
          <w:tcPr>
            <w:tcW w:type="dxa" w:w="2340"/>
            <w:vAlign w:val="center"/>
          </w:tcPr>
          <w:p>
            <w:r>
              <w:rPr>
                <w:sz w:val="15"/>
              </w:rPr>
              <w:t>Count</w:t>
            </w:r>
          </w:p>
        </w:tc>
        <w:tc>
          <w:tcPr>
            <w:tcW w:type="dxa" w:w="2340"/>
            <w:vAlign w:val="center"/>
          </w:tcPr>
          <w:p>
            <w:r>
              <w:rPr>
                <w:sz w:val="15"/>
              </w:rPr>
              <w:t>Predictor</w:t>
            </w:r>
          </w:p>
        </w:tc>
      </w:tr>
      <w:tr>
        <w:tc>
          <w:tcPr>
            <w:tcW w:type="dxa" w:w="2340"/>
            <w:vAlign w:val="center"/>
          </w:tcPr>
          <w:p>
            <w:r>
              <w:rPr>
                <w:sz w:val="15"/>
              </w:rPr>
              <w:t>RXTOTY1</w:t>
            </w:r>
          </w:p>
        </w:tc>
        <w:tc>
          <w:tcPr>
            <w:tcW w:type="dxa" w:w="2340"/>
            <w:vAlign w:val="center"/>
          </w:tcPr>
          <w:p>
            <w:r>
              <w:rPr>
                <w:sz w:val="15"/>
              </w:rPr>
              <w:t>2022 prescription events</w:t>
            </w:r>
          </w:p>
        </w:tc>
        <w:tc>
          <w:tcPr>
            <w:tcW w:type="dxa" w:w="2340"/>
            <w:vAlign w:val="center"/>
          </w:tcPr>
          <w:p>
            <w:r>
              <w:rPr>
                <w:sz w:val="15"/>
              </w:rPr>
              <w:t>Count</w:t>
            </w:r>
          </w:p>
        </w:tc>
        <w:tc>
          <w:tcPr>
            <w:tcW w:type="dxa" w:w="2340"/>
            <w:vAlign w:val="center"/>
          </w:tcPr>
          <w:p>
            <w:r>
              <w:rPr>
                <w:sz w:val="15"/>
              </w:rPr>
              <w:t>Predictor</w:t>
            </w:r>
          </w:p>
        </w:tc>
      </w:tr>
      <w:tr>
        <w:tc>
          <w:tcPr>
            <w:tcW w:type="dxa" w:w="2340"/>
            <w:vAlign w:val="center"/>
          </w:tcPr>
          <w:p>
            <w:r>
              <w:rPr>
                <w:sz w:val="15"/>
              </w:rPr>
              <w:t>LONGWT</w:t>
            </w:r>
          </w:p>
        </w:tc>
        <w:tc>
          <w:tcPr>
            <w:tcW w:type="dxa" w:w="2340"/>
            <w:vAlign w:val="center"/>
          </w:tcPr>
          <w:p>
            <w:r>
              <w:rPr>
                <w:sz w:val="15"/>
              </w:rPr>
              <w:t>Longitudinal survey weight</w:t>
            </w:r>
          </w:p>
        </w:tc>
        <w:tc>
          <w:tcPr>
            <w:tcW w:type="dxa" w:w="2340"/>
            <w:vAlign w:val="center"/>
          </w:tcPr>
          <w:p>
            <w:r>
              <w:rPr>
                <w:sz w:val="15"/>
              </w:rPr>
              <w:t>Numeric</w:t>
            </w:r>
          </w:p>
        </w:tc>
        <w:tc>
          <w:tcPr>
            <w:tcW w:type="dxa" w:w="2340"/>
            <w:vAlign w:val="center"/>
          </w:tcPr>
          <w:p>
            <w:r>
              <w:rPr>
                <w:sz w:val="15"/>
              </w:rPr>
              <w:t>Estimation weight</w:t>
            </w:r>
          </w:p>
        </w:tc>
      </w:tr>
    </w:tbl>
    <w:p/>
    <w:p>
      <w:pPr>
        <w:pStyle w:val="Heading2"/>
      </w:pPr>
      <w:r>
        <w:t>Target Construction and Leakage Prevention</w:t>
      </w:r>
    </w:p>
    <w:p>
      <w:r>
        <w:t>The high-cost target was defined using the weighted 90th percentile of 2023 total expenditure. The calculated threshold was $17,749.33. Individuals with TOTEXPY2 at or above this value were assigned HIGH_COST_Y2 = 1. All 2023 utilization, health-status, and expenditure variables were excluded from model predictors. Only baseline demographics and information observed in 2022 were permitted. This separation is central to the validity of the “before crisis care” objective.</w:t>
      </w:r>
    </w:p>
    <w:p>
      <w:pPr>
        <w:pStyle w:val="Heading2"/>
      </w:pPr>
      <w:r>
        <w:t>Feature Engineering</w:t>
      </w:r>
    </w:p>
    <w:p>
      <w:pPr>
        <w:pStyle w:val="ListBullet"/>
      </w:pPr>
      <w:r>
        <w:t>Log-transformed prior expenditure to reduce extreme right skew.</w:t>
      </w:r>
    </w:p>
    <w:p>
      <w:pPr>
        <w:pStyle w:val="ListBullet"/>
      </w:pPr>
      <w:r>
        <w:t>Chronic disease burden score calculated from 11 diagnosed-condition indicators.</w:t>
      </w:r>
    </w:p>
    <w:p>
      <w:pPr>
        <w:pStyle w:val="ListBullet"/>
      </w:pPr>
      <w:r>
        <w:t>Utilization index combining prior emergency, inpatient, office, outpatient, prescription, and home-health use.</w:t>
      </w:r>
    </w:p>
    <w:p>
      <w:pPr>
        <w:pStyle w:val="ListBullet"/>
      </w:pPr>
      <w:r>
        <w:t>Binary functional-limitation indicators for walking, activities of daily living, and instrumental activities of daily living.</w:t>
      </w:r>
    </w:p>
    <w:p>
      <w:pPr>
        <w:pStyle w:val="ListBullet"/>
      </w:pPr>
      <w:r>
        <w:t>Log-transformed family income to reduce skewness.</w:t>
      </w:r>
    </w:p>
    <w:p>
      <w:pPr>
        <w:pStyle w:val="Heading2"/>
      </w:pPr>
      <w:r>
        <w:t>Verify Data Quality</w:t>
      </w:r>
    </w:p>
    <w:p>
      <w:r>
        <w:t>MEPS uses negative values to represent inapplicability, nonresponse, or other special codes. These values were not interpreted as substantive measurements. Continuous predictors were set to missing where appropriate and imputed with training-set medians within each model pipeline. Categorical predictors were imputed using the most frequent training category. Condition variables were converted to affirmative diagnosis indicators. No outcome observations with invalid 2023 total expenditure or nonpositive longitudinal weights were retained.</w:t>
      </w:r>
    </w:p>
    <w:p>
      <w:r>
        <w:rPr>
          <w:b/>
        </w:rPr>
        <w:t>Table 2. Highest Missingness Among Analytic Variables</w:t>
      </w:r>
    </w:p>
    <w:tbl>
      <w:tblPr>
        <w:tblStyle w:val="TableGrid"/>
        <w:tblW w:type="auto" w:w="0"/>
        <w:jc w:val="center"/>
        <w:tblLook w:firstColumn="1" w:firstRow="1" w:lastColumn="0" w:lastRow="0" w:noHBand="0" w:noVBand="1" w:val="04A0"/>
      </w:tblPr>
      <w:tblGrid>
        <w:gridCol w:w="3120"/>
        <w:gridCol w:w="3120"/>
        <w:gridCol w:w="3120"/>
      </w:tblGrid>
      <w:tr>
        <w:trPr>
          <w:tblHeader w:val="true"/>
        </w:trPr>
        <w:tc>
          <w:tcPr>
            <w:tcW w:type="dxa" w:w="3120"/>
            <w:shd w:fill="1F4E78"/>
          </w:tcPr>
          <w:p>
            <w:r>
              <w:rPr>
                <w:b/>
                <w:color w:val="FFFFFF"/>
                <w:sz w:val="16"/>
              </w:rPr>
              <w:t>Variable</w:t>
            </w:r>
          </w:p>
        </w:tc>
        <w:tc>
          <w:tcPr>
            <w:tcW w:type="dxa" w:w="3120"/>
            <w:shd w:fill="1F4E78"/>
          </w:tcPr>
          <w:p>
            <w:r>
              <w:rPr>
                <w:b/>
                <w:color w:val="FFFFFF"/>
                <w:sz w:val="16"/>
              </w:rPr>
              <w:t>Missing_Count</w:t>
            </w:r>
          </w:p>
        </w:tc>
        <w:tc>
          <w:tcPr>
            <w:tcW w:type="dxa" w:w="3120"/>
            <w:shd w:fill="1F4E78"/>
          </w:tcPr>
          <w:p>
            <w:r>
              <w:rPr>
                <w:b/>
                <w:color w:val="FFFFFF"/>
                <w:sz w:val="16"/>
              </w:rPr>
              <w:t>Missing_Percent</w:t>
            </w:r>
          </w:p>
        </w:tc>
      </w:tr>
      <w:tr>
        <w:tc>
          <w:tcPr>
            <w:tcW w:type="dxa" w:w="3120"/>
            <w:vAlign w:val="center"/>
          </w:tcPr>
          <w:p>
            <w:r>
              <w:rPr>
                <w:sz w:val="15"/>
              </w:rPr>
              <w:t>employed</w:t>
            </w:r>
          </w:p>
        </w:tc>
        <w:tc>
          <w:tcPr>
            <w:tcW w:type="dxa" w:w="3120"/>
            <w:vAlign w:val="center"/>
          </w:tcPr>
          <w:p>
            <w:r>
              <w:rPr>
                <w:sz w:val="15"/>
              </w:rPr>
              <w:t>1512</w:t>
            </w:r>
          </w:p>
        </w:tc>
        <w:tc>
          <w:tcPr>
            <w:tcW w:type="dxa" w:w="3120"/>
            <w:vAlign w:val="center"/>
          </w:tcPr>
          <w:p>
            <w:r>
              <w:rPr>
                <w:sz w:val="15"/>
              </w:rPr>
              <w:t>18.4954</w:t>
            </w:r>
          </w:p>
        </w:tc>
      </w:tr>
      <w:tr>
        <w:tc>
          <w:tcPr>
            <w:tcW w:type="dxa" w:w="3120"/>
            <w:vAlign w:val="center"/>
          </w:tcPr>
          <w:p>
            <w:r>
              <w:rPr>
                <w:sz w:val="15"/>
              </w:rPr>
              <w:t>education_years</w:t>
            </w:r>
          </w:p>
        </w:tc>
        <w:tc>
          <w:tcPr>
            <w:tcW w:type="dxa" w:w="3120"/>
            <w:vAlign w:val="center"/>
          </w:tcPr>
          <w:p>
            <w:r>
              <w:rPr>
                <w:sz w:val="15"/>
              </w:rPr>
              <w:t>534</w:t>
            </w:r>
          </w:p>
        </w:tc>
        <w:tc>
          <w:tcPr>
            <w:tcW w:type="dxa" w:w="3120"/>
            <w:vAlign w:val="center"/>
          </w:tcPr>
          <w:p>
            <w:r>
              <w:rPr>
                <w:sz w:val="15"/>
              </w:rPr>
              <w:t>6.5321</w:t>
            </w:r>
          </w:p>
        </w:tc>
      </w:tr>
      <w:tr>
        <w:tc>
          <w:tcPr>
            <w:tcW w:type="dxa" w:w="3120"/>
            <w:vAlign w:val="center"/>
          </w:tcPr>
          <w:p>
            <w:r>
              <w:rPr>
                <w:sz w:val="15"/>
              </w:rPr>
              <w:t>home_health_days</w:t>
            </w:r>
          </w:p>
        </w:tc>
        <w:tc>
          <w:tcPr>
            <w:tcW w:type="dxa" w:w="3120"/>
            <w:vAlign w:val="center"/>
          </w:tcPr>
          <w:p>
            <w:r>
              <w:rPr>
                <w:sz w:val="15"/>
              </w:rPr>
              <w:t>94</w:t>
            </w:r>
          </w:p>
        </w:tc>
        <w:tc>
          <w:tcPr>
            <w:tcW w:type="dxa" w:w="3120"/>
            <w:vAlign w:val="center"/>
          </w:tcPr>
          <w:p>
            <w:r>
              <w:rPr>
                <w:sz w:val="15"/>
              </w:rPr>
              <w:t>1.1498</w:t>
            </w:r>
          </w:p>
        </w:tc>
      </w:tr>
      <w:tr>
        <w:tc>
          <w:tcPr>
            <w:tcW w:type="dxa" w:w="3120"/>
            <w:vAlign w:val="center"/>
          </w:tcPr>
          <w:p>
            <w:r>
              <w:rPr>
                <w:sz w:val="15"/>
              </w:rPr>
              <w:t>iadl_limitation</w:t>
            </w:r>
          </w:p>
        </w:tc>
        <w:tc>
          <w:tcPr>
            <w:tcW w:type="dxa" w:w="3120"/>
            <w:vAlign w:val="center"/>
          </w:tcPr>
          <w:p>
            <w:r>
              <w:rPr>
                <w:sz w:val="15"/>
              </w:rPr>
              <w:t>87</w:t>
            </w:r>
          </w:p>
        </w:tc>
        <w:tc>
          <w:tcPr>
            <w:tcW w:type="dxa" w:w="3120"/>
            <w:vAlign w:val="center"/>
          </w:tcPr>
          <w:p>
            <w:r>
              <w:rPr>
                <w:sz w:val="15"/>
              </w:rPr>
              <w:t>1.0642</w:t>
            </w:r>
          </w:p>
        </w:tc>
      </w:tr>
      <w:tr>
        <w:tc>
          <w:tcPr>
            <w:tcW w:type="dxa" w:w="3120"/>
            <w:vAlign w:val="center"/>
          </w:tcPr>
          <w:p>
            <w:r>
              <w:rPr>
                <w:sz w:val="15"/>
              </w:rPr>
              <w:t>adl_limitation</w:t>
            </w:r>
          </w:p>
        </w:tc>
        <w:tc>
          <w:tcPr>
            <w:tcW w:type="dxa" w:w="3120"/>
            <w:vAlign w:val="center"/>
          </w:tcPr>
          <w:p>
            <w:r>
              <w:rPr>
                <w:sz w:val="15"/>
              </w:rPr>
              <w:t>83</w:t>
            </w:r>
          </w:p>
        </w:tc>
        <w:tc>
          <w:tcPr>
            <w:tcW w:type="dxa" w:w="3120"/>
            <w:vAlign w:val="center"/>
          </w:tcPr>
          <w:p>
            <w:r>
              <w:rPr>
                <w:sz w:val="15"/>
              </w:rPr>
              <w:t>1.0153</w:t>
            </w:r>
          </w:p>
        </w:tc>
      </w:tr>
      <w:tr>
        <w:tc>
          <w:tcPr>
            <w:tcW w:type="dxa" w:w="3120"/>
            <w:vAlign w:val="center"/>
          </w:tcPr>
          <w:p>
            <w:r>
              <w:rPr>
                <w:sz w:val="15"/>
              </w:rPr>
              <w:t>walking_limitation</w:t>
            </w:r>
          </w:p>
        </w:tc>
        <w:tc>
          <w:tcPr>
            <w:tcW w:type="dxa" w:w="3120"/>
            <w:vAlign w:val="center"/>
          </w:tcPr>
          <w:p>
            <w:r>
              <w:rPr>
                <w:sz w:val="15"/>
              </w:rPr>
              <w:t>79</w:t>
            </w:r>
          </w:p>
        </w:tc>
        <w:tc>
          <w:tcPr>
            <w:tcW w:type="dxa" w:w="3120"/>
            <w:vAlign w:val="center"/>
          </w:tcPr>
          <w:p>
            <w:r>
              <w:rPr>
                <w:sz w:val="15"/>
              </w:rPr>
              <w:t>0.9664</w:t>
            </w:r>
          </w:p>
        </w:tc>
      </w:tr>
      <w:tr>
        <w:tc>
          <w:tcPr>
            <w:tcW w:type="dxa" w:w="3120"/>
            <w:vAlign w:val="center"/>
          </w:tcPr>
          <w:p>
            <w:r>
              <w:rPr>
                <w:sz w:val="15"/>
              </w:rPr>
              <w:t>mental_health</w:t>
            </w:r>
          </w:p>
        </w:tc>
        <w:tc>
          <w:tcPr>
            <w:tcW w:type="dxa" w:w="3120"/>
            <w:vAlign w:val="center"/>
          </w:tcPr>
          <w:p>
            <w:r>
              <w:rPr>
                <w:sz w:val="15"/>
              </w:rPr>
              <w:t>79</w:t>
            </w:r>
          </w:p>
        </w:tc>
        <w:tc>
          <w:tcPr>
            <w:tcW w:type="dxa" w:w="3120"/>
            <w:vAlign w:val="center"/>
          </w:tcPr>
          <w:p>
            <w:r>
              <w:rPr>
                <w:sz w:val="15"/>
              </w:rPr>
              <w:t>0.9664</w:t>
            </w:r>
          </w:p>
        </w:tc>
      </w:tr>
      <w:tr>
        <w:tc>
          <w:tcPr>
            <w:tcW w:type="dxa" w:w="3120"/>
            <w:vAlign w:val="center"/>
          </w:tcPr>
          <w:p>
            <w:r>
              <w:rPr>
                <w:sz w:val="15"/>
              </w:rPr>
              <w:t>general_health</w:t>
            </w:r>
          </w:p>
        </w:tc>
        <w:tc>
          <w:tcPr>
            <w:tcW w:type="dxa" w:w="3120"/>
            <w:vAlign w:val="center"/>
          </w:tcPr>
          <w:p>
            <w:r>
              <w:rPr>
                <w:sz w:val="15"/>
              </w:rPr>
              <w:t>75</w:t>
            </w:r>
          </w:p>
        </w:tc>
        <w:tc>
          <w:tcPr>
            <w:tcW w:type="dxa" w:w="3120"/>
            <w:vAlign w:val="center"/>
          </w:tcPr>
          <w:p>
            <w:r>
              <w:rPr>
                <w:sz w:val="15"/>
              </w:rPr>
              <w:t>0.9174</w:t>
            </w:r>
          </w:p>
        </w:tc>
      </w:tr>
      <w:tr>
        <w:tc>
          <w:tcPr>
            <w:tcW w:type="dxa" w:w="3120"/>
            <w:vAlign w:val="center"/>
          </w:tcPr>
          <w:p>
            <w:r>
              <w:rPr>
                <w:sz w:val="15"/>
              </w:rPr>
              <w:t>log_family_income</w:t>
            </w:r>
          </w:p>
        </w:tc>
        <w:tc>
          <w:tcPr>
            <w:tcW w:type="dxa" w:w="3120"/>
            <w:vAlign w:val="center"/>
          </w:tcPr>
          <w:p>
            <w:r>
              <w:rPr>
                <w:sz w:val="15"/>
              </w:rPr>
              <w:t>74</w:t>
            </w:r>
          </w:p>
        </w:tc>
        <w:tc>
          <w:tcPr>
            <w:tcW w:type="dxa" w:w="3120"/>
            <w:vAlign w:val="center"/>
          </w:tcPr>
          <w:p>
            <w:r>
              <w:rPr>
                <w:sz w:val="15"/>
              </w:rPr>
              <w:t>0.9052</w:t>
            </w:r>
          </w:p>
        </w:tc>
      </w:tr>
      <w:tr>
        <w:tc>
          <w:tcPr>
            <w:tcW w:type="dxa" w:w="3120"/>
            <w:vAlign w:val="center"/>
          </w:tcPr>
          <w:p>
            <w:r>
              <w:rPr>
                <w:sz w:val="15"/>
              </w:rPr>
              <w:t>family_income</w:t>
            </w:r>
          </w:p>
        </w:tc>
        <w:tc>
          <w:tcPr>
            <w:tcW w:type="dxa" w:w="3120"/>
            <w:vAlign w:val="center"/>
          </w:tcPr>
          <w:p>
            <w:r>
              <w:rPr>
                <w:sz w:val="15"/>
              </w:rPr>
              <w:t>74</w:t>
            </w:r>
          </w:p>
        </w:tc>
        <w:tc>
          <w:tcPr>
            <w:tcW w:type="dxa" w:w="3120"/>
            <w:vAlign w:val="center"/>
          </w:tcPr>
          <w:p>
            <w:r>
              <w:rPr>
                <w:sz w:val="15"/>
              </w:rPr>
              <w:t>0.9052</w:t>
            </w:r>
          </w:p>
        </w:tc>
      </w:tr>
      <w:tr>
        <w:tc>
          <w:tcPr>
            <w:tcW w:type="dxa" w:w="3120"/>
            <w:vAlign w:val="center"/>
          </w:tcPr>
          <w:p>
            <w:r>
              <w:rPr>
                <w:sz w:val="15"/>
              </w:rPr>
              <w:t>TOTEXPY1</w:t>
            </w:r>
          </w:p>
        </w:tc>
        <w:tc>
          <w:tcPr>
            <w:tcW w:type="dxa" w:w="3120"/>
            <w:vAlign w:val="center"/>
          </w:tcPr>
          <w:p>
            <w:r>
              <w:rPr>
                <w:sz w:val="15"/>
              </w:rPr>
              <w:t>66</w:t>
            </w:r>
          </w:p>
        </w:tc>
        <w:tc>
          <w:tcPr>
            <w:tcW w:type="dxa" w:w="3120"/>
            <w:vAlign w:val="center"/>
          </w:tcPr>
          <w:p>
            <w:r>
              <w:rPr>
                <w:sz w:val="15"/>
              </w:rPr>
              <w:t>0.8073</w:t>
            </w:r>
          </w:p>
        </w:tc>
      </w:tr>
      <w:tr>
        <w:tc>
          <w:tcPr>
            <w:tcW w:type="dxa" w:w="3120"/>
            <w:vAlign w:val="center"/>
          </w:tcPr>
          <w:p>
            <w:r>
              <w:rPr>
                <w:sz w:val="15"/>
              </w:rPr>
              <w:t>outpatient_visits</w:t>
            </w:r>
          </w:p>
        </w:tc>
        <w:tc>
          <w:tcPr>
            <w:tcW w:type="dxa" w:w="3120"/>
            <w:vAlign w:val="center"/>
          </w:tcPr>
          <w:p>
            <w:r>
              <w:rPr>
                <w:sz w:val="15"/>
              </w:rPr>
              <w:t>66</w:t>
            </w:r>
          </w:p>
        </w:tc>
        <w:tc>
          <w:tcPr>
            <w:tcW w:type="dxa" w:w="3120"/>
            <w:vAlign w:val="center"/>
          </w:tcPr>
          <w:p>
            <w:r>
              <w:rPr>
                <w:sz w:val="15"/>
              </w:rPr>
              <w:t>0.8073</w:t>
            </w:r>
          </w:p>
        </w:tc>
      </w:tr>
      <w:tr>
        <w:tc>
          <w:tcPr>
            <w:tcW w:type="dxa" w:w="3120"/>
            <w:vAlign w:val="center"/>
          </w:tcPr>
          <w:p>
            <w:r>
              <w:rPr>
                <w:sz w:val="15"/>
              </w:rPr>
              <w:t>prescription_count</w:t>
            </w:r>
          </w:p>
        </w:tc>
        <w:tc>
          <w:tcPr>
            <w:tcW w:type="dxa" w:w="3120"/>
            <w:vAlign w:val="center"/>
          </w:tcPr>
          <w:p>
            <w:r>
              <w:rPr>
                <w:sz w:val="15"/>
              </w:rPr>
              <w:t>66</w:t>
            </w:r>
          </w:p>
        </w:tc>
        <w:tc>
          <w:tcPr>
            <w:tcW w:type="dxa" w:w="3120"/>
            <w:vAlign w:val="center"/>
          </w:tcPr>
          <w:p>
            <w:r>
              <w:rPr>
                <w:sz w:val="15"/>
              </w:rPr>
              <w:t>0.8073</w:t>
            </w:r>
          </w:p>
        </w:tc>
      </w:tr>
      <w:tr>
        <w:tc>
          <w:tcPr>
            <w:tcW w:type="dxa" w:w="3120"/>
            <w:vAlign w:val="center"/>
          </w:tcPr>
          <w:p>
            <w:r>
              <w:rPr>
                <w:sz w:val="15"/>
              </w:rPr>
              <w:t>inpatient_discharges</w:t>
            </w:r>
          </w:p>
        </w:tc>
        <w:tc>
          <w:tcPr>
            <w:tcW w:type="dxa" w:w="3120"/>
            <w:vAlign w:val="center"/>
          </w:tcPr>
          <w:p>
            <w:r>
              <w:rPr>
                <w:sz w:val="15"/>
              </w:rPr>
              <w:t>66</w:t>
            </w:r>
          </w:p>
        </w:tc>
        <w:tc>
          <w:tcPr>
            <w:tcW w:type="dxa" w:w="3120"/>
            <w:vAlign w:val="center"/>
          </w:tcPr>
          <w:p>
            <w:r>
              <w:rPr>
                <w:sz w:val="15"/>
              </w:rPr>
              <w:t>0.8073</w:t>
            </w:r>
          </w:p>
        </w:tc>
      </w:tr>
      <w:tr>
        <w:tc>
          <w:tcPr>
            <w:tcW w:type="dxa" w:w="3120"/>
            <w:vAlign w:val="center"/>
          </w:tcPr>
          <w:p>
            <w:r>
              <w:rPr>
                <w:sz w:val="15"/>
              </w:rPr>
              <w:t>er_visits</w:t>
            </w:r>
          </w:p>
        </w:tc>
        <w:tc>
          <w:tcPr>
            <w:tcW w:type="dxa" w:w="3120"/>
            <w:vAlign w:val="center"/>
          </w:tcPr>
          <w:p>
            <w:r>
              <w:rPr>
                <w:sz w:val="15"/>
              </w:rPr>
              <w:t>66</w:t>
            </w:r>
          </w:p>
        </w:tc>
        <w:tc>
          <w:tcPr>
            <w:tcW w:type="dxa" w:w="3120"/>
            <w:vAlign w:val="center"/>
          </w:tcPr>
          <w:p>
            <w:r>
              <w:rPr>
                <w:sz w:val="15"/>
              </w:rPr>
              <w:t>0.8073</w:t>
            </w:r>
          </w:p>
        </w:tc>
      </w:tr>
    </w:tbl>
    <w:p/>
    <w:p>
      <w:pPr>
        <w:pStyle w:val="Heading1"/>
      </w:pPr>
      <w:r>
        <w:t>Hypothesis Statements</w:t>
      </w:r>
    </w:p>
    <w:p>
      <w:r>
        <w:t>H01: Demographic, socioeconomic, health-status, chronic-condition, prior-utilization, and prior-expenditure factors do not predict high-cost status in the following year.</w:t>
      </w:r>
    </w:p>
    <w:p>
      <w:r>
        <w:t>H11: At least one of these factors provides meaningful predictive information about future high-cost status.</w:t>
      </w:r>
    </w:p>
    <w:p>
      <w:r>
        <w:t>H02: Nonlinear machine learning models do not outperform Logistic Regression on ranking and discrimination metrics.</w:t>
      </w:r>
    </w:p>
    <w:p>
      <w:r>
        <w:t>H12: At least one nonlinear model outperforms Logistic Regression on prospective high-cost prediction.</w:t>
      </w:r>
    </w:p>
    <w:p>
      <w:r>
        <w:t>H03: Prior healthcare utilization and expenditure do not improve identification of future high-cost patients.</w:t>
      </w:r>
    </w:p>
    <w:p>
      <w:r>
        <w:t>H13: Prior healthcare utilization and expenditure improve identification of future high-cost patients.</w:t>
      </w:r>
    </w:p>
    <w:p>
      <w:pPr>
        <w:pStyle w:val="Heading1"/>
      </w:pPr>
      <w:r>
        <w:t>Data Diagnostics and Descriptive Summary</w:t>
      </w:r>
    </w:p>
    <w:p>
      <w:r>
        <w:rPr>
          <w:b/>
        </w:rPr>
        <w:t>Table 3. Dataset Summary</w:t>
      </w:r>
    </w:p>
    <w:tbl>
      <w:tblPr>
        <w:tblStyle w:val="TableGrid"/>
        <w:tblW w:type="auto" w:w="0"/>
        <w:jc w:val="center"/>
        <w:tblLook w:firstColumn="1" w:firstRow="1" w:lastColumn="0" w:lastRow="0" w:noHBand="0" w:noVBand="1" w:val="04A0"/>
      </w:tblPr>
      <w:tblGrid>
        <w:gridCol w:w="4680"/>
        <w:gridCol w:w="4680"/>
      </w:tblGrid>
      <w:tr>
        <w:trPr>
          <w:tblHeader w:val="true"/>
        </w:trPr>
        <w:tc>
          <w:tcPr>
            <w:tcW w:type="dxa" w:w="4680"/>
            <w:shd w:fill="1F4E78"/>
          </w:tcPr>
          <w:p>
            <w:r>
              <w:rPr>
                <w:b/>
                <w:color w:val="FFFFFF"/>
                <w:sz w:val="16"/>
              </w:rPr>
              <w:t>Statistic</w:t>
            </w:r>
          </w:p>
        </w:tc>
        <w:tc>
          <w:tcPr>
            <w:tcW w:type="dxa" w:w="4680"/>
            <w:shd w:fill="1F4E78"/>
          </w:tcPr>
          <w:p>
            <w:r>
              <w:rPr>
                <w:b/>
                <w:color w:val="FFFFFF"/>
                <w:sz w:val="16"/>
              </w:rPr>
              <w:t>Value</w:t>
            </w:r>
          </w:p>
        </w:tc>
      </w:tr>
      <w:tr>
        <w:tc>
          <w:tcPr>
            <w:tcW w:type="dxa" w:w="4680"/>
            <w:vAlign w:val="center"/>
          </w:tcPr>
          <w:p>
            <w:r>
              <w:rPr>
                <w:sz w:val="15"/>
              </w:rPr>
              <w:t>Unweighted observations</w:t>
            </w:r>
          </w:p>
        </w:tc>
        <w:tc>
          <w:tcPr>
            <w:tcW w:type="dxa" w:w="4680"/>
            <w:vAlign w:val="center"/>
          </w:tcPr>
          <w:p>
            <w:r>
              <w:rPr>
                <w:sz w:val="15"/>
              </w:rPr>
              <w:t>8,175.00</w:t>
            </w:r>
          </w:p>
        </w:tc>
      </w:tr>
      <w:tr>
        <w:tc>
          <w:tcPr>
            <w:tcW w:type="dxa" w:w="4680"/>
            <w:vAlign w:val="center"/>
          </w:tcPr>
          <w:p>
            <w:r>
              <w:rPr>
                <w:sz w:val="15"/>
              </w:rPr>
              <w:t>Weighted 2023 expenditure p90 threshold</w:t>
            </w:r>
          </w:p>
        </w:tc>
        <w:tc>
          <w:tcPr>
            <w:tcW w:type="dxa" w:w="4680"/>
            <w:vAlign w:val="center"/>
          </w:tcPr>
          <w:p>
            <w:r>
              <w:rPr>
                <w:sz w:val="15"/>
              </w:rPr>
              <w:t>17,749.33</w:t>
            </w:r>
          </w:p>
        </w:tc>
      </w:tr>
      <w:tr>
        <w:tc>
          <w:tcPr>
            <w:tcW w:type="dxa" w:w="4680"/>
            <w:vAlign w:val="center"/>
          </w:tcPr>
          <w:p>
            <w:r>
              <w:rPr>
                <w:sz w:val="15"/>
              </w:rPr>
              <w:t>High-cost observations</w:t>
            </w:r>
          </w:p>
        </w:tc>
        <w:tc>
          <w:tcPr>
            <w:tcW w:type="dxa" w:w="4680"/>
            <w:vAlign w:val="center"/>
          </w:tcPr>
          <w:p>
            <w:r>
              <w:rPr>
                <w:sz w:val="15"/>
              </w:rPr>
              <w:t>963.00</w:t>
            </w:r>
          </w:p>
        </w:tc>
      </w:tr>
      <w:tr>
        <w:tc>
          <w:tcPr>
            <w:tcW w:type="dxa" w:w="4680"/>
            <w:vAlign w:val="center"/>
          </w:tcPr>
          <w:p>
            <w:r>
              <w:rPr>
                <w:sz w:val="15"/>
              </w:rPr>
              <w:t>High-cost share (unweighted)</w:t>
            </w:r>
          </w:p>
        </w:tc>
        <w:tc>
          <w:tcPr>
            <w:tcW w:type="dxa" w:w="4680"/>
            <w:vAlign w:val="center"/>
          </w:tcPr>
          <w:p>
            <w:r>
              <w:rPr>
                <w:sz w:val="15"/>
              </w:rPr>
              <w:t>0.1178</w:t>
            </w:r>
          </w:p>
        </w:tc>
      </w:tr>
      <w:tr>
        <w:tc>
          <w:tcPr>
            <w:tcW w:type="dxa" w:w="4680"/>
            <w:vAlign w:val="center"/>
          </w:tcPr>
          <w:p>
            <w:r>
              <w:rPr>
                <w:sz w:val="15"/>
              </w:rPr>
              <w:t>Mean 2022 expenditure</w:t>
            </w:r>
          </w:p>
        </w:tc>
        <w:tc>
          <w:tcPr>
            <w:tcW w:type="dxa" w:w="4680"/>
            <w:vAlign w:val="center"/>
          </w:tcPr>
          <w:p>
            <w:r>
              <w:rPr>
                <w:sz w:val="15"/>
              </w:rPr>
              <w:t>7,733.01</w:t>
            </w:r>
          </w:p>
        </w:tc>
      </w:tr>
      <w:tr>
        <w:tc>
          <w:tcPr>
            <w:tcW w:type="dxa" w:w="4680"/>
            <w:vAlign w:val="center"/>
          </w:tcPr>
          <w:p>
            <w:r>
              <w:rPr>
                <w:sz w:val="15"/>
              </w:rPr>
              <w:t>Median 2022 expenditure</w:t>
            </w:r>
          </w:p>
        </w:tc>
        <w:tc>
          <w:tcPr>
            <w:tcW w:type="dxa" w:w="4680"/>
            <w:vAlign w:val="center"/>
          </w:tcPr>
          <w:p>
            <w:r>
              <w:rPr>
                <w:sz w:val="15"/>
              </w:rPr>
              <w:t>1,797.00</w:t>
            </w:r>
          </w:p>
        </w:tc>
      </w:tr>
      <w:tr>
        <w:tc>
          <w:tcPr>
            <w:tcW w:type="dxa" w:w="4680"/>
            <w:vAlign w:val="center"/>
          </w:tcPr>
          <w:p>
            <w:r>
              <w:rPr>
                <w:sz w:val="15"/>
              </w:rPr>
              <w:t>Mean 2023 expenditure</w:t>
            </w:r>
          </w:p>
        </w:tc>
        <w:tc>
          <w:tcPr>
            <w:tcW w:type="dxa" w:w="4680"/>
            <w:vAlign w:val="center"/>
          </w:tcPr>
          <w:p>
            <w:r>
              <w:rPr>
                <w:sz w:val="15"/>
              </w:rPr>
              <w:t>8,456.16</w:t>
            </w:r>
          </w:p>
        </w:tc>
      </w:tr>
      <w:tr>
        <w:tc>
          <w:tcPr>
            <w:tcW w:type="dxa" w:w="4680"/>
            <w:vAlign w:val="center"/>
          </w:tcPr>
          <w:p>
            <w:r>
              <w:rPr>
                <w:sz w:val="15"/>
              </w:rPr>
              <w:t>Median 2023 expenditure</w:t>
            </w:r>
          </w:p>
        </w:tc>
        <w:tc>
          <w:tcPr>
            <w:tcW w:type="dxa" w:w="4680"/>
            <w:vAlign w:val="center"/>
          </w:tcPr>
          <w:p>
            <w:r>
              <w:rPr>
                <w:sz w:val="15"/>
              </w:rPr>
              <w:t>1,747.00</w:t>
            </w:r>
          </w:p>
        </w:tc>
      </w:tr>
    </w:tbl>
    <w:p/>
    <w:p>
      <w:r>
        <w:rPr>
          <w:b/>
        </w:rPr>
        <w:t>Table 4. Weighted Summary</w:t>
      </w:r>
    </w:p>
    <w:tbl>
      <w:tblPr>
        <w:tblStyle w:val="TableGrid"/>
        <w:tblW w:type="auto" w:w="0"/>
        <w:jc w:val="center"/>
        <w:tblLook w:firstColumn="1" w:firstRow="1" w:lastColumn="0" w:lastRow="0" w:noHBand="0" w:noVBand="1" w:val="04A0"/>
      </w:tblPr>
      <w:tblGrid>
        <w:gridCol w:w="4680"/>
        <w:gridCol w:w="4680"/>
      </w:tblGrid>
      <w:tr>
        <w:trPr>
          <w:tblHeader w:val="true"/>
        </w:trPr>
        <w:tc>
          <w:tcPr>
            <w:tcW w:type="dxa" w:w="4680"/>
            <w:shd w:fill="1F4E78"/>
          </w:tcPr>
          <w:p>
            <w:r>
              <w:rPr>
                <w:b/>
                <w:color w:val="FFFFFF"/>
                <w:sz w:val="16"/>
              </w:rPr>
              <w:t>Metric</w:t>
            </w:r>
          </w:p>
        </w:tc>
        <w:tc>
          <w:tcPr>
            <w:tcW w:type="dxa" w:w="4680"/>
            <w:shd w:fill="1F4E78"/>
          </w:tcPr>
          <w:p>
            <w:r>
              <w:rPr>
                <w:b/>
                <w:color w:val="FFFFFF"/>
                <w:sz w:val="16"/>
              </w:rPr>
              <w:t>Value</w:t>
            </w:r>
          </w:p>
        </w:tc>
      </w:tr>
      <w:tr>
        <w:tc>
          <w:tcPr>
            <w:tcW w:type="dxa" w:w="4680"/>
            <w:vAlign w:val="center"/>
          </w:tcPr>
          <w:p>
            <w:r>
              <w:rPr>
                <w:sz w:val="15"/>
              </w:rPr>
              <w:t>Weighted high-cost share</w:t>
            </w:r>
          </w:p>
        </w:tc>
        <w:tc>
          <w:tcPr>
            <w:tcW w:type="dxa" w:w="4680"/>
            <w:vAlign w:val="center"/>
          </w:tcPr>
          <w:p>
            <w:r>
              <w:rPr>
                <w:sz w:val="15"/>
              </w:rPr>
              <w:t>0.1000</w:t>
            </w:r>
          </w:p>
        </w:tc>
      </w:tr>
      <w:tr>
        <w:tc>
          <w:tcPr>
            <w:tcW w:type="dxa" w:w="4680"/>
            <w:vAlign w:val="center"/>
          </w:tcPr>
          <w:p>
            <w:r>
              <w:rPr>
                <w:sz w:val="15"/>
              </w:rPr>
              <w:t>Weighted mean 2022 expenditure</w:t>
            </w:r>
          </w:p>
        </w:tc>
        <w:tc>
          <w:tcPr>
            <w:tcW w:type="dxa" w:w="4680"/>
            <w:vAlign w:val="center"/>
          </w:tcPr>
          <w:p>
            <w:r>
              <w:rPr>
                <w:sz w:val="15"/>
              </w:rPr>
              <w:t>6,604.82</w:t>
            </w:r>
          </w:p>
        </w:tc>
      </w:tr>
      <w:tr>
        <w:tc>
          <w:tcPr>
            <w:tcW w:type="dxa" w:w="4680"/>
            <w:vAlign w:val="center"/>
          </w:tcPr>
          <w:p>
            <w:r>
              <w:rPr>
                <w:sz w:val="15"/>
              </w:rPr>
              <w:t>Weighted mean 2023 expenditure</w:t>
            </w:r>
          </w:p>
        </w:tc>
        <w:tc>
          <w:tcPr>
            <w:tcW w:type="dxa" w:w="4680"/>
            <w:vAlign w:val="center"/>
          </w:tcPr>
          <w:p>
            <w:r>
              <w:rPr>
                <w:sz w:val="15"/>
              </w:rPr>
              <w:t>7,328.55</w:t>
            </w:r>
          </w:p>
        </w:tc>
      </w:tr>
      <w:tr>
        <w:tc>
          <w:tcPr>
            <w:tcW w:type="dxa" w:w="4680"/>
            <w:vAlign w:val="center"/>
          </w:tcPr>
          <w:p>
            <w:r>
              <w:rPr>
                <w:sz w:val="15"/>
              </w:rPr>
              <w:t>Weighted p90 threshold</w:t>
            </w:r>
          </w:p>
        </w:tc>
        <w:tc>
          <w:tcPr>
            <w:tcW w:type="dxa" w:w="4680"/>
            <w:vAlign w:val="center"/>
          </w:tcPr>
          <w:p>
            <w:r>
              <w:rPr>
                <w:sz w:val="15"/>
              </w:rPr>
              <w:t>17,749.33</w:t>
            </w:r>
          </w:p>
        </w:tc>
      </w:tr>
    </w:tbl>
    <w:p/>
    <w:p>
      <w:r>
        <w:rPr>
          <w:b/>
        </w:rPr>
        <w:t>Table 5. Descriptive Statistics</w:t>
      </w:r>
    </w:p>
    <w:tbl>
      <w:tblPr>
        <w:tblStyle w:val="TableGrid"/>
        <w:tblW w:type="auto" w:w="0"/>
        <w:jc w:val="center"/>
        <w:tblLook w:firstColumn="1" w:firstRow="1" w:lastColumn="0" w:lastRow="0" w:noHBand="0" w:noVBand="1" w:val="04A0"/>
      </w:tblPr>
      <w:tblGrid>
        <w:gridCol w:w="1040"/>
        <w:gridCol w:w="1040"/>
        <w:gridCol w:w="1040"/>
        <w:gridCol w:w="1040"/>
        <w:gridCol w:w="1040"/>
        <w:gridCol w:w="1040"/>
        <w:gridCol w:w="1040"/>
        <w:gridCol w:w="1040"/>
        <w:gridCol w:w="1040"/>
      </w:tblGrid>
      <w:tr>
        <w:trPr>
          <w:tblHeader w:val="true"/>
        </w:trPr>
        <w:tc>
          <w:tcPr>
            <w:tcW w:type="dxa" w:w="1040"/>
            <w:shd w:fill="1F4E78"/>
          </w:tcPr>
          <w:p>
            <w:r>
              <w:rPr>
                <w:b/>
                <w:color w:val="FFFFFF"/>
                <w:sz w:val="16"/>
              </w:rPr>
              <w:t>Variable</w:t>
            </w:r>
          </w:p>
        </w:tc>
        <w:tc>
          <w:tcPr>
            <w:tcW w:type="dxa" w:w="1040"/>
            <w:shd w:fill="1F4E78"/>
          </w:tcPr>
          <w:p>
            <w:r>
              <w:rPr>
                <w:b/>
                <w:color w:val="FFFFFF"/>
                <w:sz w:val="16"/>
              </w:rPr>
              <w:t>count</w:t>
            </w:r>
          </w:p>
        </w:tc>
        <w:tc>
          <w:tcPr>
            <w:tcW w:type="dxa" w:w="1040"/>
            <w:shd w:fill="1F4E78"/>
          </w:tcPr>
          <w:p>
            <w:r>
              <w:rPr>
                <w:b/>
                <w:color w:val="FFFFFF"/>
                <w:sz w:val="16"/>
              </w:rPr>
              <w:t>mean</w:t>
            </w:r>
          </w:p>
        </w:tc>
        <w:tc>
          <w:tcPr>
            <w:tcW w:type="dxa" w:w="1040"/>
            <w:shd w:fill="1F4E78"/>
          </w:tcPr>
          <w:p>
            <w:r>
              <w:rPr>
                <w:b/>
                <w:color w:val="FFFFFF"/>
                <w:sz w:val="16"/>
              </w:rPr>
              <w:t>std</w:t>
            </w:r>
          </w:p>
        </w:tc>
        <w:tc>
          <w:tcPr>
            <w:tcW w:type="dxa" w:w="1040"/>
            <w:shd w:fill="1F4E78"/>
          </w:tcPr>
          <w:p>
            <w:r>
              <w:rPr>
                <w:b/>
                <w:color w:val="FFFFFF"/>
                <w:sz w:val="16"/>
              </w:rPr>
              <w:t>min</w:t>
            </w:r>
          </w:p>
        </w:tc>
        <w:tc>
          <w:tcPr>
            <w:tcW w:type="dxa" w:w="1040"/>
            <w:shd w:fill="1F4E78"/>
          </w:tcPr>
          <w:p>
            <w:r>
              <w:rPr>
                <w:b/>
                <w:color w:val="FFFFFF"/>
                <w:sz w:val="16"/>
              </w:rPr>
              <w:t>25%</w:t>
            </w:r>
          </w:p>
        </w:tc>
        <w:tc>
          <w:tcPr>
            <w:tcW w:type="dxa" w:w="1040"/>
            <w:shd w:fill="1F4E78"/>
          </w:tcPr>
          <w:p>
            <w:r>
              <w:rPr>
                <w:b/>
                <w:color w:val="FFFFFF"/>
                <w:sz w:val="16"/>
              </w:rPr>
              <w:t>50%</w:t>
            </w:r>
          </w:p>
        </w:tc>
        <w:tc>
          <w:tcPr>
            <w:tcW w:type="dxa" w:w="1040"/>
            <w:shd w:fill="1F4E78"/>
          </w:tcPr>
          <w:p>
            <w:r>
              <w:rPr>
                <w:b/>
                <w:color w:val="FFFFFF"/>
                <w:sz w:val="16"/>
              </w:rPr>
              <w:t>75%</w:t>
            </w:r>
          </w:p>
        </w:tc>
        <w:tc>
          <w:tcPr>
            <w:tcW w:type="dxa" w:w="1040"/>
            <w:shd w:fill="1F4E78"/>
          </w:tcPr>
          <w:p>
            <w:r>
              <w:rPr>
                <w:b/>
                <w:color w:val="FFFFFF"/>
                <w:sz w:val="16"/>
              </w:rPr>
              <w:t>max</w:t>
            </w:r>
          </w:p>
        </w:tc>
      </w:tr>
      <w:tr>
        <w:tc>
          <w:tcPr>
            <w:tcW w:type="dxa" w:w="1040"/>
            <w:vAlign w:val="center"/>
          </w:tcPr>
          <w:p>
            <w:r>
              <w:rPr>
                <w:sz w:val="15"/>
              </w:rPr>
              <w:t>age</w:t>
            </w:r>
          </w:p>
        </w:tc>
        <w:tc>
          <w:tcPr>
            <w:tcW w:type="dxa" w:w="1040"/>
            <w:vAlign w:val="center"/>
          </w:tcPr>
          <w:p>
            <w:r>
              <w:rPr>
                <w:sz w:val="15"/>
              </w:rPr>
              <w:t>8,109.00</w:t>
            </w:r>
          </w:p>
        </w:tc>
        <w:tc>
          <w:tcPr>
            <w:tcW w:type="dxa" w:w="1040"/>
            <w:vAlign w:val="center"/>
          </w:tcPr>
          <w:p>
            <w:r>
              <w:rPr>
                <w:sz w:val="15"/>
              </w:rPr>
              <w:t>43.3150</w:t>
            </w:r>
          </w:p>
        </w:tc>
        <w:tc>
          <w:tcPr>
            <w:tcW w:type="dxa" w:w="1040"/>
            <w:vAlign w:val="center"/>
          </w:tcPr>
          <w:p>
            <w:r>
              <w:rPr>
                <w:sz w:val="15"/>
              </w:rPr>
              <w:t>23.7498</w:t>
            </w:r>
          </w:p>
        </w:tc>
        <w:tc>
          <w:tcPr>
            <w:tcW w:type="dxa" w:w="1040"/>
            <w:vAlign w:val="center"/>
          </w:tcPr>
          <w:p>
            <w:r>
              <w:rPr>
                <w:sz w:val="15"/>
              </w:rPr>
              <w:t>0.0000</w:t>
            </w:r>
          </w:p>
        </w:tc>
        <w:tc>
          <w:tcPr>
            <w:tcW w:type="dxa" w:w="1040"/>
            <w:vAlign w:val="center"/>
          </w:tcPr>
          <w:p>
            <w:r>
              <w:rPr>
                <w:sz w:val="15"/>
              </w:rPr>
              <w:t>23.0000</w:t>
            </w:r>
          </w:p>
        </w:tc>
        <w:tc>
          <w:tcPr>
            <w:tcW w:type="dxa" w:w="1040"/>
            <w:vAlign w:val="center"/>
          </w:tcPr>
          <w:p>
            <w:r>
              <w:rPr>
                <w:sz w:val="15"/>
              </w:rPr>
              <w:t>44.0000</w:t>
            </w:r>
          </w:p>
        </w:tc>
        <w:tc>
          <w:tcPr>
            <w:tcW w:type="dxa" w:w="1040"/>
            <w:vAlign w:val="center"/>
          </w:tcPr>
          <w:p>
            <w:r>
              <w:rPr>
                <w:sz w:val="15"/>
              </w:rPr>
              <w:t>63.0000</w:t>
            </w:r>
          </w:p>
        </w:tc>
        <w:tc>
          <w:tcPr>
            <w:tcW w:type="dxa" w:w="1040"/>
            <w:vAlign w:val="center"/>
          </w:tcPr>
          <w:p>
            <w:r>
              <w:rPr>
                <w:sz w:val="15"/>
              </w:rPr>
              <w:t>85.0000</w:t>
            </w:r>
          </w:p>
        </w:tc>
      </w:tr>
      <w:tr>
        <w:tc>
          <w:tcPr>
            <w:tcW w:type="dxa" w:w="1040"/>
            <w:vAlign w:val="center"/>
          </w:tcPr>
          <w:p>
            <w:r>
              <w:rPr>
                <w:sz w:val="15"/>
              </w:rPr>
              <w:t>education_years</w:t>
            </w:r>
          </w:p>
        </w:tc>
        <w:tc>
          <w:tcPr>
            <w:tcW w:type="dxa" w:w="1040"/>
            <w:vAlign w:val="center"/>
          </w:tcPr>
          <w:p>
            <w:r>
              <w:rPr>
                <w:sz w:val="15"/>
              </w:rPr>
              <w:t>7,641.00</w:t>
            </w:r>
          </w:p>
        </w:tc>
        <w:tc>
          <w:tcPr>
            <w:tcW w:type="dxa" w:w="1040"/>
            <w:vAlign w:val="center"/>
          </w:tcPr>
          <w:p>
            <w:r>
              <w:rPr>
                <w:sz w:val="15"/>
              </w:rPr>
              <w:t>12.0716</w:t>
            </w:r>
          </w:p>
        </w:tc>
        <w:tc>
          <w:tcPr>
            <w:tcW w:type="dxa" w:w="1040"/>
            <w:vAlign w:val="center"/>
          </w:tcPr>
          <w:p>
            <w:r>
              <w:rPr>
                <w:sz w:val="15"/>
              </w:rPr>
              <w:t>4.4064</w:t>
            </w:r>
          </w:p>
        </w:tc>
        <w:tc>
          <w:tcPr>
            <w:tcW w:type="dxa" w:w="1040"/>
            <w:vAlign w:val="center"/>
          </w:tcPr>
          <w:p>
            <w:r>
              <w:rPr>
                <w:sz w:val="15"/>
              </w:rPr>
              <w:t>0.0000</w:t>
            </w:r>
          </w:p>
        </w:tc>
        <w:tc>
          <w:tcPr>
            <w:tcW w:type="dxa" w:w="1040"/>
            <w:vAlign w:val="center"/>
          </w:tcPr>
          <w:p>
            <w:r>
              <w:rPr>
                <w:sz w:val="15"/>
              </w:rPr>
              <w:t>11.0000</w:t>
            </w:r>
          </w:p>
        </w:tc>
        <w:tc>
          <w:tcPr>
            <w:tcW w:type="dxa" w:w="1040"/>
            <w:vAlign w:val="center"/>
          </w:tcPr>
          <w:p>
            <w:r>
              <w:rPr>
                <w:sz w:val="15"/>
              </w:rPr>
              <w:t>12.0000</w:t>
            </w:r>
          </w:p>
        </w:tc>
        <w:tc>
          <w:tcPr>
            <w:tcW w:type="dxa" w:w="1040"/>
            <w:vAlign w:val="center"/>
          </w:tcPr>
          <w:p>
            <w:r>
              <w:rPr>
                <w:sz w:val="15"/>
              </w:rPr>
              <w:t>16.0000</w:t>
            </w:r>
          </w:p>
        </w:tc>
        <w:tc>
          <w:tcPr>
            <w:tcW w:type="dxa" w:w="1040"/>
            <w:vAlign w:val="center"/>
          </w:tcPr>
          <w:p>
            <w:r>
              <w:rPr>
                <w:sz w:val="15"/>
              </w:rPr>
              <w:t>17.0000</w:t>
            </w:r>
          </w:p>
        </w:tc>
      </w:tr>
      <w:tr>
        <w:tc>
          <w:tcPr>
            <w:tcW w:type="dxa" w:w="1040"/>
            <w:vAlign w:val="center"/>
          </w:tcPr>
          <w:p>
            <w:r>
              <w:rPr>
                <w:sz w:val="15"/>
              </w:rPr>
              <w:t>family_income</w:t>
            </w:r>
          </w:p>
        </w:tc>
        <w:tc>
          <w:tcPr>
            <w:tcW w:type="dxa" w:w="1040"/>
            <w:vAlign w:val="center"/>
          </w:tcPr>
          <w:p>
            <w:r>
              <w:rPr>
                <w:sz w:val="15"/>
              </w:rPr>
              <w:t>8,101.00</w:t>
            </w:r>
          </w:p>
        </w:tc>
        <w:tc>
          <w:tcPr>
            <w:tcW w:type="dxa" w:w="1040"/>
            <w:vAlign w:val="center"/>
          </w:tcPr>
          <w:p>
            <w:r>
              <w:rPr>
                <w:sz w:val="15"/>
              </w:rPr>
              <w:t>91,449.08</w:t>
            </w:r>
          </w:p>
        </w:tc>
        <w:tc>
          <w:tcPr>
            <w:tcW w:type="dxa" w:w="1040"/>
            <w:vAlign w:val="center"/>
          </w:tcPr>
          <w:p>
            <w:r>
              <w:rPr>
                <w:sz w:val="15"/>
              </w:rPr>
              <w:t>84,543.27</w:t>
            </w:r>
          </w:p>
        </w:tc>
        <w:tc>
          <w:tcPr>
            <w:tcW w:type="dxa" w:w="1040"/>
            <w:vAlign w:val="center"/>
          </w:tcPr>
          <w:p>
            <w:r>
              <w:rPr>
                <w:sz w:val="15"/>
              </w:rPr>
              <w:t>0.0000</w:t>
            </w:r>
          </w:p>
        </w:tc>
        <w:tc>
          <w:tcPr>
            <w:tcW w:type="dxa" w:w="1040"/>
            <w:vAlign w:val="center"/>
          </w:tcPr>
          <w:p>
            <w:r>
              <w:rPr>
                <w:sz w:val="15"/>
              </w:rPr>
              <w:t>32,515.00</w:t>
            </w:r>
          </w:p>
        </w:tc>
        <w:tc>
          <w:tcPr>
            <w:tcW w:type="dxa" w:w="1040"/>
            <w:vAlign w:val="center"/>
          </w:tcPr>
          <w:p>
            <w:r>
              <w:rPr>
                <w:sz w:val="15"/>
              </w:rPr>
              <w:t>68,888.00</w:t>
            </w:r>
          </w:p>
        </w:tc>
        <w:tc>
          <w:tcPr>
            <w:tcW w:type="dxa" w:w="1040"/>
            <w:vAlign w:val="center"/>
          </w:tcPr>
          <w:p>
            <w:r>
              <w:rPr>
                <w:sz w:val="15"/>
              </w:rPr>
              <w:t>125,462.00</w:t>
            </w:r>
          </w:p>
        </w:tc>
        <w:tc>
          <w:tcPr>
            <w:tcW w:type="dxa" w:w="1040"/>
            <w:vAlign w:val="center"/>
          </w:tcPr>
          <w:p>
            <w:r>
              <w:rPr>
                <w:sz w:val="15"/>
              </w:rPr>
              <w:t>674,227.00</w:t>
            </w:r>
          </w:p>
        </w:tc>
      </w:tr>
      <w:tr>
        <w:tc>
          <w:tcPr>
            <w:tcW w:type="dxa" w:w="1040"/>
            <w:vAlign w:val="center"/>
          </w:tcPr>
          <w:p>
            <w:r>
              <w:rPr>
                <w:sz w:val="15"/>
              </w:rPr>
              <w:t>general_health</w:t>
            </w:r>
          </w:p>
        </w:tc>
        <w:tc>
          <w:tcPr>
            <w:tcW w:type="dxa" w:w="1040"/>
            <w:vAlign w:val="center"/>
          </w:tcPr>
          <w:p>
            <w:r>
              <w:rPr>
                <w:sz w:val="15"/>
              </w:rPr>
              <w:t>8,100.00</w:t>
            </w:r>
          </w:p>
        </w:tc>
        <w:tc>
          <w:tcPr>
            <w:tcW w:type="dxa" w:w="1040"/>
            <w:vAlign w:val="center"/>
          </w:tcPr>
          <w:p>
            <w:r>
              <w:rPr>
                <w:sz w:val="15"/>
              </w:rPr>
              <w:t>2.3006</w:t>
            </w:r>
          </w:p>
        </w:tc>
        <w:tc>
          <w:tcPr>
            <w:tcW w:type="dxa" w:w="1040"/>
            <w:vAlign w:val="center"/>
          </w:tcPr>
          <w:p>
            <w:r>
              <w:rPr>
                <w:sz w:val="15"/>
              </w:rPr>
              <w:t>1.0365</w:t>
            </w:r>
          </w:p>
        </w:tc>
        <w:tc>
          <w:tcPr>
            <w:tcW w:type="dxa" w:w="1040"/>
            <w:vAlign w:val="center"/>
          </w:tcPr>
          <w:p>
            <w:r>
              <w:rPr>
                <w:sz w:val="15"/>
              </w:rPr>
              <w:t>1.0000</w:t>
            </w:r>
          </w:p>
        </w:tc>
        <w:tc>
          <w:tcPr>
            <w:tcW w:type="dxa" w:w="1040"/>
            <w:vAlign w:val="center"/>
          </w:tcPr>
          <w:p>
            <w:r>
              <w:rPr>
                <w:sz w:val="15"/>
              </w:rPr>
              <w:t>1.0000</w:t>
            </w:r>
          </w:p>
        </w:tc>
        <w:tc>
          <w:tcPr>
            <w:tcW w:type="dxa" w:w="1040"/>
            <w:vAlign w:val="center"/>
          </w:tcPr>
          <w:p>
            <w:r>
              <w:rPr>
                <w:sz w:val="15"/>
              </w:rPr>
              <w:t>2.0000</w:t>
            </w:r>
          </w:p>
        </w:tc>
        <w:tc>
          <w:tcPr>
            <w:tcW w:type="dxa" w:w="1040"/>
            <w:vAlign w:val="center"/>
          </w:tcPr>
          <w:p>
            <w:r>
              <w:rPr>
                <w:sz w:val="15"/>
              </w:rPr>
              <w:t>3.0000</w:t>
            </w:r>
          </w:p>
        </w:tc>
        <w:tc>
          <w:tcPr>
            <w:tcW w:type="dxa" w:w="1040"/>
            <w:vAlign w:val="center"/>
          </w:tcPr>
          <w:p>
            <w:r>
              <w:rPr>
                <w:sz w:val="15"/>
              </w:rPr>
              <w:t>5.0000</w:t>
            </w:r>
          </w:p>
        </w:tc>
      </w:tr>
      <w:tr>
        <w:tc>
          <w:tcPr>
            <w:tcW w:type="dxa" w:w="1040"/>
            <w:vAlign w:val="center"/>
          </w:tcPr>
          <w:p>
            <w:r>
              <w:rPr>
                <w:sz w:val="15"/>
              </w:rPr>
              <w:t>mental_health</w:t>
            </w:r>
          </w:p>
        </w:tc>
        <w:tc>
          <w:tcPr>
            <w:tcW w:type="dxa" w:w="1040"/>
            <w:vAlign w:val="center"/>
          </w:tcPr>
          <w:p>
            <w:r>
              <w:rPr>
                <w:sz w:val="15"/>
              </w:rPr>
              <w:t>8,096.00</w:t>
            </w:r>
          </w:p>
        </w:tc>
        <w:tc>
          <w:tcPr>
            <w:tcW w:type="dxa" w:w="1040"/>
            <w:vAlign w:val="center"/>
          </w:tcPr>
          <w:p>
            <w:r>
              <w:rPr>
                <w:sz w:val="15"/>
              </w:rPr>
              <w:t>2.2032</w:t>
            </w:r>
          </w:p>
        </w:tc>
        <w:tc>
          <w:tcPr>
            <w:tcW w:type="dxa" w:w="1040"/>
            <w:vAlign w:val="center"/>
          </w:tcPr>
          <w:p>
            <w:r>
              <w:rPr>
                <w:sz w:val="15"/>
              </w:rPr>
              <w:t>1.0281</w:t>
            </w:r>
          </w:p>
        </w:tc>
        <w:tc>
          <w:tcPr>
            <w:tcW w:type="dxa" w:w="1040"/>
            <w:vAlign w:val="center"/>
          </w:tcPr>
          <w:p>
            <w:r>
              <w:rPr>
                <w:sz w:val="15"/>
              </w:rPr>
              <w:t>1.0000</w:t>
            </w:r>
          </w:p>
        </w:tc>
        <w:tc>
          <w:tcPr>
            <w:tcW w:type="dxa" w:w="1040"/>
            <w:vAlign w:val="center"/>
          </w:tcPr>
          <w:p>
            <w:r>
              <w:rPr>
                <w:sz w:val="15"/>
              </w:rPr>
              <w:t>1.0000</w:t>
            </w:r>
          </w:p>
        </w:tc>
        <w:tc>
          <w:tcPr>
            <w:tcW w:type="dxa" w:w="1040"/>
            <w:vAlign w:val="center"/>
          </w:tcPr>
          <w:p>
            <w:r>
              <w:rPr>
                <w:sz w:val="15"/>
              </w:rPr>
              <w:t>2.0000</w:t>
            </w:r>
          </w:p>
        </w:tc>
        <w:tc>
          <w:tcPr>
            <w:tcW w:type="dxa" w:w="1040"/>
            <w:vAlign w:val="center"/>
          </w:tcPr>
          <w:p>
            <w:r>
              <w:rPr>
                <w:sz w:val="15"/>
              </w:rPr>
              <w:t>3.0000</w:t>
            </w:r>
          </w:p>
        </w:tc>
        <w:tc>
          <w:tcPr>
            <w:tcW w:type="dxa" w:w="1040"/>
            <w:vAlign w:val="center"/>
          </w:tcPr>
          <w:p>
            <w:r>
              <w:rPr>
                <w:sz w:val="15"/>
              </w:rPr>
              <w:t>5.0000</w:t>
            </w:r>
          </w:p>
        </w:tc>
      </w:tr>
      <w:tr>
        <w:tc>
          <w:tcPr>
            <w:tcW w:type="dxa" w:w="1040"/>
            <w:vAlign w:val="center"/>
          </w:tcPr>
          <w:p>
            <w:r>
              <w:rPr>
                <w:sz w:val="15"/>
              </w:rPr>
              <w:t>chronic_burden</w:t>
            </w:r>
          </w:p>
        </w:tc>
        <w:tc>
          <w:tcPr>
            <w:tcW w:type="dxa" w:w="1040"/>
            <w:vAlign w:val="center"/>
          </w:tcPr>
          <w:p>
            <w:r>
              <w:rPr>
                <w:sz w:val="15"/>
              </w:rPr>
              <w:t>8,175.00</w:t>
            </w:r>
          </w:p>
        </w:tc>
        <w:tc>
          <w:tcPr>
            <w:tcW w:type="dxa" w:w="1040"/>
            <w:vAlign w:val="center"/>
          </w:tcPr>
          <w:p>
            <w:r>
              <w:rPr>
                <w:sz w:val="15"/>
              </w:rPr>
              <w:t>1.3470</w:t>
            </w:r>
          </w:p>
        </w:tc>
        <w:tc>
          <w:tcPr>
            <w:tcW w:type="dxa" w:w="1040"/>
            <w:vAlign w:val="center"/>
          </w:tcPr>
          <w:p>
            <w:r>
              <w:rPr>
                <w:sz w:val="15"/>
              </w:rPr>
              <w:t>1.6862</w:t>
            </w:r>
          </w:p>
        </w:tc>
        <w:tc>
          <w:tcPr>
            <w:tcW w:type="dxa" w:w="1040"/>
            <w:vAlign w:val="center"/>
          </w:tcPr>
          <w:p>
            <w:r>
              <w:rPr>
                <w:sz w:val="15"/>
              </w:rPr>
              <w:t>0.0000</w:t>
            </w:r>
          </w:p>
        </w:tc>
        <w:tc>
          <w:tcPr>
            <w:tcW w:type="dxa" w:w="1040"/>
            <w:vAlign w:val="center"/>
          </w:tcPr>
          <w:p>
            <w:r>
              <w:rPr>
                <w:sz w:val="15"/>
              </w:rPr>
              <w:t>0.0000</w:t>
            </w:r>
          </w:p>
        </w:tc>
        <w:tc>
          <w:tcPr>
            <w:tcW w:type="dxa" w:w="1040"/>
            <w:vAlign w:val="center"/>
          </w:tcPr>
          <w:p>
            <w:r>
              <w:rPr>
                <w:sz w:val="15"/>
              </w:rPr>
              <w:t>1.0000</w:t>
            </w:r>
          </w:p>
        </w:tc>
        <w:tc>
          <w:tcPr>
            <w:tcW w:type="dxa" w:w="1040"/>
            <w:vAlign w:val="center"/>
          </w:tcPr>
          <w:p>
            <w:r>
              <w:rPr>
                <w:sz w:val="15"/>
              </w:rPr>
              <w:t>2.0000</w:t>
            </w:r>
          </w:p>
        </w:tc>
        <w:tc>
          <w:tcPr>
            <w:tcW w:type="dxa" w:w="1040"/>
            <w:vAlign w:val="center"/>
          </w:tcPr>
          <w:p>
            <w:r>
              <w:rPr>
                <w:sz w:val="15"/>
              </w:rPr>
              <w:t>10.0000</w:t>
            </w:r>
          </w:p>
        </w:tc>
      </w:tr>
      <w:tr>
        <w:tc>
          <w:tcPr>
            <w:tcW w:type="dxa" w:w="1040"/>
            <w:vAlign w:val="center"/>
          </w:tcPr>
          <w:p>
            <w:r>
              <w:rPr>
                <w:sz w:val="15"/>
              </w:rPr>
              <w:t>er_visits</w:t>
            </w:r>
          </w:p>
        </w:tc>
        <w:tc>
          <w:tcPr>
            <w:tcW w:type="dxa" w:w="1040"/>
            <w:vAlign w:val="center"/>
          </w:tcPr>
          <w:p>
            <w:r>
              <w:rPr>
                <w:sz w:val="15"/>
              </w:rPr>
              <w:t>8,109.00</w:t>
            </w:r>
          </w:p>
        </w:tc>
        <w:tc>
          <w:tcPr>
            <w:tcW w:type="dxa" w:w="1040"/>
            <w:vAlign w:val="center"/>
          </w:tcPr>
          <w:p>
            <w:r>
              <w:rPr>
                <w:sz w:val="15"/>
              </w:rPr>
              <w:t>0.2098</w:t>
            </w:r>
          </w:p>
        </w:tc>
        <w:tc>
          <w:tcPr>
            <w:tcW w:type="dxa" w:w="1040"/>
            <w:vAlign w:val="center"/>
          </w:tcPr>
          <w:p>
            <w:r>
              <w:rPr>
                <w:sz w:val="15"/>
              </w:rPr>
              <w:t>0.6678</w:t>
            </w:r>
          </w:p>
        </w:tc>
        <w:tc>
          <w:tcPr>
            <w:tcW w:type="dxa" w:w="1040"/>
            <w:vAlign w:val="center"/>
          </w:tcPr>
          <w:p>
            <w:r>
              <w:rPr>
                <w:sz w:val="15"/>
              </w:rPr>
              <w:t>0.0000</w:t>
            </w:r>
          </w:p>
        </w:tc>
        <w:tc>
          <w:tcPr>
            <w:tcW w:type="dxa" w:w="1040"/>
            <w:vAlign w:val="center"/>
          </w:tcPr>
          <w:p>
            <w:r>
              <w:rPr>
                <w:sz w:val="15"/>
              </w:rPr>
              <w:t>0.0000</w:t>
            </w:r>
          </w:p>
        </w:tc>
        <w:tc>
          <w:tcPr>
            <w:tcW w:type="dxa" w:w="1040"/>
            <w:vAlign w:val="center"/>
          </w:tcPr>
          <w:p>
            <w:r>
              <w:rPr>
                <w:sz w:val="15"/>
              </w:rPr>
              <w:t>0.0000</w:t>
            </w:r>
          </w:p>
        </w:tc>
        <w:tc>
          <w:tcPr>
            <w:tcW w:type="dxa" w:w="1040"/>
            <w:vAlign w:val="center"/>
          </w:tcPr>
          <w:p>
            <w:r>
              <w:rPr>
                <w:sz w:val="15"/>
              </w:rPr>
              <w:t>0.0000</w:t>
            </w:r>
          </w:p>
        </w:tc>
        <w:tc>
          <w:tcPr>
            <w:tcW w:type="dxa" w:w="1040"/>
            <w:vAlign w:val="center"/>
          </w:tcPr>
          <w:p>
            <w:r>
              <w:rPr>
                <w:sz w:val="15"/>
              </w:rPr>
              <w:t>16.0000</w:t>
            </w:r>
          </w:p>
        </w:tc>
      </w:tr>
      <w:tr>
        <w:tc>
          <w:tcPr>
            <w:tcW w:type="dxa" w:w="1040"/>
            <w:vAlign w:val="center"/>
          </w:tcPr>
          <w:p>
            <w:r>
              <w:rPr>
                <w:sz w:val="15"/>
              </w:rPr>
              <w:t>inpatient_discharges</w:t>
            </w:r>
          </w:p>
        </w:tc>
        <w:tc>
          <w:tcPr>
            <w:tcW w:type="dxa" w:w="1040"/>
            <w:vAlign w:val="center"/>
          </w:tcPr>
          <w:p>
            <w:r>
              <w:rPr>
                <w:sz w:val="15"/>
              </w:rPr>
              <w:t>8,109.00</w:t>
            </w:r>
          </w:p>
        </w:tc>
        <w:tc>
          <w:tcPr>
            <w:tcW w:type="dxa" w:w="1040"/>
            <w:vAlign w:val="center"/>
          </w:tcPr>
          <w:p>
            <w:r>
              <w:rPr>
                <w:sz w:val="15"/>
              </w:rPr>
              <w:t>0.0805</w:t>
            </w:r>
          </w:p>
        </w:tc>
        <w:tc>
          <w:tcPr>
            <w:tcW w:type="dxa" w:w="1040"/>
            <w:vAlign w:val="center"/>
          </w:tcPr>
          <w:p>
            <w:r>
              <w:rPr>
                <w:sz w:val="15"/>
              </w:rPr>
              <w:t>0.3523</w:t>
            </w:r>
          </w:p>
        </w:tc>
        <w:tc>
          <w:tcPr>
            <w:tcW w:type="dxa" w:w="1040"/>
            <w:vAlign w:val="center"/>
          </w:tcPr>
          <w:p>
            <w:r>
              <w:rPr>
                <w:sz w:val="15"/>
              </w:rPr>
              <w:t>0.0000</w:t>
            </w:r>
          </w:p>
        </w:tc>
        <w:tc>
          <w:tcPr>
            <w:tcW w:type="dxa" w:w="1040"/>
            <w:vAlign w:val="center"/>
          </w:tcPr>
          <w:p>
            <w:r>
              <w:rPr>
                <w:sz w:val="15"/>
              </w:rPr>
              <w:t>0.0000</w:t>
            </w:r>
          </w:p>
        </w:tc>
        <w:tc>
          <w:tcPr>
            <w:tcW w:type="dxa" w:w="1040"/>
            <w:vAlign w:val="center"/>
          </w:tcPr>
          <w:p>
            <w:r>
              <w:rPr>
                <w:sz w:val="15"/>
              </w:rPr>
              <w:t>0.0000</w:t>
            </w:r>
          </w:p>
        </w:tc>
        <w:tc>
          <w:tcPr>
            <w:tcW w:type="dxa" w:w="1040"/>
            <w:vAlign w:val="center"/>
          </w:tcPr>
          <w:p>
            <w:r>
              <w:rPr>
                <w:sz w:val="15"/>
              </w:rPr>
              <w:t>0.0000</w:t>
            </w:r>
          </w:p>
        </w:tc>
        <w:tc>
          <w:tcPr>
            <w:tcW w:type="dxa" w:w="1040"/>
            <w:vAlign w:val="center"/>
          </w:tcPr>
          <w:p>
            <w:r>
              <w:rPr>
                <w:sz w:val="15"/>
              </w:rPr>
              <w:t>5.0000</w:t>
            </w:r>
          </w:p>
        </w:tc>
      </w:tr>
      <w:tr>
        <w:tc>
          <w:tcPr>
            <w:tcW w:type="dxa" w:w="1040"/>
            <w:vAlign w:val="center"/>
          </w:tcPr>
          <w:p>
            <w:r>
              <w:rPr>
                <w:sz w:val="15"/>
              </w:rPr>
              <w:t>office_visits</w:t>
            </w:r>
          </w:p>
        </w:tc>
        <w:tc>
          <w:tcPr>
            <w:tcW w:type="dxa" w:w="1040"/>
            <w:vAlign w:val="center"/>
          </w:tcPr>
          <w:p>
            <w:r>
              <w:rPr>
                <w:sz w:val="15"/>
              </w:rPr>
              <w:t>8,109.00</w:t>
            </w:r>
          </w:p>
        </w:tc>
        <w:tc>
          <w:tcPr>
            <w:tcW w:type="dxa" w:w="1040"/>
            <w:vAlign w:val="center"/>
          </w:tcPr>
          <w:p>
            <w:r>
              <w:rPr>
                <w:sz w:val="15"/>
              </w:rPr>
              <w:t>7.0437</w:t>
            </w:r>
          </w:p>
        </w:tc>
        <w:tc>
          <w:tcPr>
            <w:tcW w:type="dxa" w:w="1040"/>
            <w:vAlign w:val="center"/>
          </w:tcPr>
          <w:p>
            <w:r>
              <w:rPr>
                <w:sz w:val="15"/>
              </w:rPr>
              <w:t>13.3033</w:t>
            </w:r>
          </w:p>
        </w:tc>
        <w:tc>
          <w:tcPr>
            <w:tcW w:type="dxa" w:w="1040"/>
            <w:vAlign w:val="center"/>
          </w:tcPr>
          <w:p>
            <w:r>
              <w:rPr>
                <w:sz w:val="15"/>
              </w:rPr>
              <w:t>0.0000</w:t>
            </w:r>
          </w:p>
        </w:tc>
        <w:tc>
          <w:tcPr>
            <w:tcW w:type="dxa" w:w="1040"/>
            <w:vAlign w:val="center"/>
          </w:tcPr>
          <w:p>
            <w:r>
              <w:rPr>
                <w:sz w:val="15"/>
              </w:rPr>
              <w:t>1.0000</w:t>
            </w:r>
          </w:p>
        </w:tc>
        <w:tc>
          <w:tcPr>
            <w:tcW w:type="dxa" w:w="1040"/>
            <w:vAlign w:val="center"/>
          </w:tcPr>
          <w:p>
            <w:r>
              <w:rPr>
                <w:sz w:val="15"/>
              </w:rPr>
              <w:t>3.0000</w:t>
            </w:r>
          </w:p>
        </w:tc>
        <w:tc>
          <w:tcPr>
            <w:tcW w:type="dxa" w:w="1040"/>
            <w:vAlign w:val="center"/>
          </w:tcPr>
          <w:p>
            <w:r>
              <w:rPr>
                <w:sz w:val="15"/>
              </w:rPr>
              <w:t>8.0000</w:t>
            </w:r>
          </w:p>
        </w:tc>
        <w:tc>
          <w:tcPr>
            <w:tcW w:type="dxa" w:w="1040"/>
            <w:vAlign w:val="center"/>
          </w:tcPr>
          <w:p>
            <w:r>
              <w:rPr>
                <w:sz w:val="15"/>
              </w:rPr>
              <w:t>282.00</w:t>
            </w:r>
          </w:p>
        </w:tc>
      </w:tr>
      <w:tr>
        <w:tc>
          <w:tcPr>
            <w:tcW w:type="dxa" w:w="1040"/>
            <w:vAlign w:val="center"/>
          </w:tcPr>
          <w:p>
            <w:r>
              <w:rPr>
                <w:sz w:val="15"/>
              </w:rPr>
              <w:t>outpatient_visits</w:t>
            </w:r>
          </w:p>
        </w:tc>
        <w:tc>
          <w:tcPr>
            <w:tcW w:type="dxa" w:w="1040"/>
            <w:vAlign w:val="center"/>
          </w:tcPr>
          <w:p>
            <w:r>
              <w:rPr>
                <w:sz w:val="15"/>
              </w:rPr>
              <w:t>8,109.00</w:t>
            </w:r>
          </w:p>
        </w:tc>
        <w:tc>
          <w:tcPr>
            <w:tcW w:type="dxa" w:w="1040"/>
            <w:vAlign w:val="center"/>
          </w:tcPr>
          <w:p>
            <w:r>
              <w:rPr>
                <w:sz w:val="15"/>
              </w:rPr>
              <w:t>1.0582</w:t>
            </w:r>
          </w:p>
        </w:tc>
        <w:tc>
          <w:tcPr>
            <w:tcW w:type="dxa" w:w="1040"/>
            <w:vAlign w:val="center"/>
          </w:tcPr>
          <w:p>
            <w:r>
              <w:rPr>
                <w:sz w:val="15"/>
              </w:rPr>
              <w:t>4.6913</w:t>
            </w:r>
          </w:p>
        </w:tc>
        <w:tc>
          <w:tcPr>
            <w:tcW w:type="dxa" w:w="1040"/>
            <w:vAlign w:val="center"/>
          </w:tcPr>
          <w:p>
            <w:r>
              <w:rPr>
                <w:sz w:val="15"/>
              </w:rPr>
              <w:t>0.0000</w:t>
            </w:r>
          </w:p>
        </w:tc>
        <w:tc>
          <w:tcPr>
            <w:tcW w:type="dxa" w:w="1040"/>
            <w:vAlign w:val="center"/>
          </w:tcPr>
          <w:p>
            <w:r>
              <w:rPr>
                <w:sz w:val="15"/>
              </w:rPr>
              <w:t>0.0000</w:t>
            </w:r>
          </w:p>
        </w:tc>
        <w:tc>
          <w:tcPr>
            <w:tcW w:type="dxa" w:w="1040"/>
            <w:vAlign w:val="center"/>
          </w:tcPr>
          <w:p>
            <w:r>
              <w:rPr>
                <w:sz w:val="15"/>
              </w:rPr>
              <w:t>0.0000</w:t>
            </w:r>
          </w:p>
        </w:tc>
        <w:tc>
          <w:tcPr>
            <w:tcW w:type="dxa" w:w="1040"/>
            <w:vAlign w:val="center"/>
          </w:tcPr>
          <w:p>
            <w:r>
              <w:rPr>
                <w:sz w:val="15"/>
              </w:rPr>
              <w:t>1.0000</w:t>
            </w:r>
          </w:p>
        </w:tc>
        <w:tc>
          <w:tcPr>
            <w:tcW w:type="dxa" w:w="1040"/>
            <w:vAlign w:val="center"/>
          </w:tcPr>
          <w:p>
            <w:r>
              <w:rPr>
                <w:sz w:val="15"/>
              </w:rPr>
              <w:t>160.00</w:t>
            </w:r>
          </w:p>
        </w:tc>
      </w:tr>
      <w:tr>
        <w:tc>
          <w:tcPr>
            <w:tcW w:type="dxa" w:w="1040"/>
            <w:vAlign w:val="center"/>
          </w:tcPr>
          <w:p>
            <w:r>
              <w:rPr>
                <w:sz w:val="15"/>
              </w:rPr>
              <w:t>prescription_count</w:t>
            </w:r>
          </w:p>
        </w:tc>
        <w:tc>
          <w:tcPr>
            <w:tcW w:type="dxa" w:w="1040"/>
            <w:vAlign w:val="center"/>
          </w:tcPr>
          <w:p>
            <w:r>
              <w:rPr>
                <w:sz w:val="15"/>
              </w:rPr>
              <w:t>8,109.00</w:t>
            </w:r>
          </w:p>
        </w:tc>
        <w:tc>
          <w:tcPr>
            <w:tcW w:type="dxa" w:w="1040"/>
            <w:vAlign w:val="center"/>
          </w:tcPr>
          <w:p>
            <w:r>
              <w:rPr>
                <w:sz w:val="15"/>
              </w:rPr>
              <w:t>10.1151</w:t>
            </w:r>
          </w:p>
        </w:tc>
        <w:tc>
          <w:tcPr>
            <w:tcW w:type="dxa" w:w="1040"/>
            <w:vAlign w:val="center"/>
          </w:tcPr>
          <w:p>
            <w:r>
              <w:rPr>
                <w:sz w:val="15"/>
              </w:rPr>
              <w:t>18.4571</w:t>
            </w:r>
          </w:p>
        </w:tc>
        <w:tc>
          <w:tcPr>
            <w:tcW w:type="dxa" w:w="1040"/>
            <w:vAlign w:val="center"/>
          </w:tcPr>
          <w:p>
            <w:r>
              <w:rPr>
                <w:sz w:val="15"/>
              </w:rPr>
              <w:t>0.0000</w:t>
            </w:r>
          </w:p>
        </w:tc>
        <w:tc>
          <w:tcPr>
            <w:tcW w:type="dxa" w:w="1040"/>
            <w:vAlign w:val="center"/>
          </w:tcPr>
          <w:p>
            <w:r>
              <w:rPr>
                <w:sz w:val="15"/>
              </w:rPr>
              <w:t>0.0000</w:t>
            </w:r>
          </w:p>
        </w:tc>
        <w:tc>
          <w:tcPr>
            <w:tcW w:type="dxa" w:w="1040"/>
            <w:vAlign w:val="center"/>
          </w:tcPr>
          <w:p>
            <w:r>
              <w:rPr>
                <w:sz w:val="15"/>
              </w:rPr>
              <w:t>2.0000</w:t>
            </w:r>
          </w:p>
        </w:tc>
        <w:tc>
          <w:tcPr>
            <w:tcW w:type="dxa" w:w="1040"/>
            <w:vAlign w:val="center"/>
          </w:tcPr>
          <w:p>
            <w:r>
              <w:rPr>
                <w:sz w:val="15"/>
              </w:rPr>
              <w:t>13.0000</w:t>
            </w:r>
          </w:p>
        </w:tc>
        <w:tc>
          <w:tcPr>
            <w:tcW w:type="dxa" w:w="1040"/>
            <w:vAlign w:val="center"/>
          </w:tcPr>
          <w:p>
            <w:r>
              <w:rPr>
                <w:sz w:val="15"/>
              </w:rPr>
              <w:t>241.00</w:t>
            </w:r>
          </w:p>
        </w:tc>
      </w:tr>
      <w:tr>
        <w:tc>
          <w:tcPr>
            <w:tcW w:type="dxa" w:w="1040"/>
            <w:vAlign w:val="center"/>
          </w:tcPr>
          <w:p>
            <w:r>
              <w:rPr>
                <w:sz w:val="15"/>
              </w:rPr>
              <w:t>home_health_days</w:t>
            </w:r>
          </w:p>
        </w:tc>
        <w:tc>
          <w:tcPr>
            <w:tcW w:type="dxa" w:w="1040"/>
            <w:vAlign w:val="center"/>
          </w:tcPr>
          <w:p>
            <w:r>
              <w:rPr>
                <w:sz w:val="15"/>
              </w:rPr>
              <w:t>8,081.00</w:t>
            </w:r>
          </w:p>
        </w:tc>
        <w:tc>
          <w:tcPr>
            <w:tcW w:type="dxa" w:w="1040"/>
            <w:vAlign w:val="center"/>
          </w:tcPr>
          <w:p>
            <w:r>
              <w:rPr>
                <w:sz w:val="15"/>
              </w:rPr>
              <w:t>2.9798</w:t>
            </w:r>
          </w:p>
        </w:tc>
        <w:tc>
          <w:tcPr>
            <w:tcW w:type="dxa" w:w="1040"/>
            <w:vAlign w:val="center"/>
          </w:tcPr>
          <w:p>
            <w:r>
              <w:rPr>
                <w:sz w:val="15"/>
              </w:rPr>
              <w:t>25.0565</w:t>
            </w:r>
          </w:p>
        </w:tc>
        <w:tc>
          <w:tcPr>
            <w:tcW w:type="dxa" w:w="1040"/>
            <w:vAlign w:val="center"/>
          </w:tcPr>
          <w:p>
            <w:r>
              <w:rPr>
                <w:sz w:val="15"/>
              </w:rPr>
              <w:t>0.0000</w:t>
            </w:r>
          </w:p>
        </w:tc>
        <w:tc>
          <w:tcPr>
            <w:tcW w:type="dxa" w:w="1040"/>
            <w:vAlign w:val="center"/>
          </w:tcPr>
          <w:p>
            <w:r>
              <w:rPr>
                <w:sz w:val="15"/>
              </w:rPr>
              <w:t>0.0000</w:t>
            </w:r>
          </w:p>
        </w:tc>
        <w:tc>
          <w:tcPr>
            <w:tcW w:type="dxa" w:w="1040"/>
            <w:vAlign w:val="center"/>
          </w:tcPr>
          <w:p>
            <w:r>
              <w:rPr>
                <w:sz w:val="15"/>
              </w:rPr>
              <w:t>0.0000</w:t>
            </w:r>
          </w:p>
        </w:tc>
        <w:tc>
          <w:tcPr>
            <w:tcW w:type="dxa" w:w="1040"/>
            <w:vAlign w:val="center"/>
          </w:tcPr>
          <w:p>
            <w:r>
              <w:rPr>
                <w:sz w:val="15"/>
              </w:rPr>
              <w:t>0.0000</w:t>
            </w:r>
          </w:p>
        </w:tc>
        <w:tc>
          <w:tcPr>
            <w:tcW w:type="dxa" w:w="1040"/>
            <w:vAlign w:val="center"/>
          </w:tcPr>
          <w:p>
            <w:r>
              <w:rPr>
                <w:sz w:val="15"/>
              </w:rPr>
              <w:t>402.00</w:t>
            </w:r>
          </w:p>
        </w:tc>
      </w:tr>
      <w:tr>
        <w:tc>
          <w:tcPr>
            <w:tcW w:type="dxa" w:w="1040"/>
            <w:vAlign w:val="center"/>
          </w:tcPr>
          <w:p>
            <w:r>
              <w:rPr>
                <w:sz w:val="15"/>
              </w:rPr>
              <w:t>TOTEXPY1</w:t>
            </w:r>
          </w:p>
        </w:tc>
        <w:tc>
          <w:tcPr>
            <w:tcW w:type="dxa" w:w="1040"/>
            <w:vAlign w:val="center"/>
          </w:tcPr>
          <w:p>
            <w:r>
              <w:rPr>
                <w:sz w:val="15"/>
              </w:rPr>
              <w:t>8,109.00</w:t>
            </w:r>
          </w:p>
        </w:tc>
        <w:tc>
          <w:tcPr>
            <w:tcW w:type="dxa" w:w="1040"/>
            <w:vAlign w:val="center"/>
          </w:tcPr>
          <w:p>
            <w:r>
              <w:rPr>
                <w:sz w:val="15"/>
              </w:rPr>
              <w:t>7,733.01</w:t>
            </w:r>
          </w:p>
        </w:tc>
        <w:tc>
          <w:tcPr>
            <w:tcW w:type="dxa" w:w="1040"/>
            <w:vAlign w:val="center"/>
          </w:tcPr>
          <w:p>
            <w:r>
              <w:rPr>
                <w:sz w:val="15"/>
              </w:rPr>
              <w:t>23,253.54</w:t>
            </w:r>
          </w:p>
        </w:tc>
        <w:tc>
          <w:tcPr>
            <w:tcW w:type="dxa" w:w="1040"/>
            <w:vAlign w:val="center"/>
          </w:tcPr>
          <w:p>
            <w:r>
              <w:rPr>
                <w:sz w:val="15"/>
              </w:rPr>
              <w:t>0.0000</w:t>
            </w:r>
          </w:p>
        </w:tc>
        <w:tc>
          <w:tcPr>
            <w:tcW w:type="dxa" w:w="1040"/>
            <w:vAlign w:val="center"/>
          </w:tcPr>
          <w:p>
            <w:r>
              <w:rPr>
                <w:sz w:val="15"/>
              </w:rPr>
              <w:t>330.00</w:t>
            </w:r>
          </w:p>
        </w:tc>
        <w:tc>
          <w:tcPr>
            <w:tcW w:type="dxa" w:w="1040"/>
            <w:vAlign w:val="center"/>
          </w:tcPr>
          <w:p>
            <w:r>
              <w:rPr>
                <w:sz w:val="15"/>
              </w:rPr>
              <w:t>1,797.00</w:t>
            </w:r>
          </w:p>
        </w:tc>
        <w:tc>
          <w:tcPr>
            <w:tcW w:type="dxa" w:w="1040"/>
            <w:vAlign w:val="center"/>
          </w:tcPr>
          <w:p>
            <w:r>
              <w:rPr>
                <w:sz w:val="15"/>
              </w:rPr>
              <w:t>6,635.00</w:t>
            </w:r>
          </w:p>
        </w:tc>
        <w:tc>
          <w:tcPr>
            <w:tcW w:type="dxa" w:w="1040"/>
            <w:vAlign w:val="center"/>
          </w:tcPr>
          <w:p>
            <w:r>
              <w:rPr>
                <w:sz w:val="15"/>
              </w:rPr>
              <w:t>802,849.00</w:t>
            </w:r>
          </w:p>
        </w:tc>
      </w:tr>
      <w:tr>
        <w:tc>
          <w:tcPr>
            <w:tcW w:type="dxa" w:w="1040"/>
            <w:vAlign w:val="center"/>
          </w:tcPr>
          <w:p>
            <w:r>
              <w:rPr>
                <w:sz w:val="15"/>
              </w:rPr>
              <w:t>TOTEXPY2</w:t>
            </w:r>
          </w:p>
        </w:tc>
        <w:tc>
          <w:tcPr>
            <w:tcW w:type="dxa" w:w="1040"/>
            <w:vAlign w:val="center"/>
          </w:tcPr>
          <w:p>
            <w:r>
              <w:rPr>
                <w:sz w:val="15"/>
              </w:rPr>
              <w:t>8,175.00</w:t>
            </w:r>
          </w:p>
        </w:tc>
        <w:tc>
          <w:tcPr>
            <w:tcW w:type="dxa" w:w="1040"/>
            <w:vAlign w:val="center"/>
          </w:tcPr>
          <w:p>
            <w:r>
              <w:rPr>
                <w:sz w:val="15"/>
              </w:rPr>
              <w:t>8,456.16</w:t>
            </w:r>
          </w:p>
        </w:tc>
        <w:tc>
          <w:tcPr>
            <w:tcW w:type="dxa" w:w="1040"/>
            <w:vAlign w:val="center"/>
          </w:tcPr>
          <w:p>
            <w:r>
              <w:rPr>
                <w:sz w:val="15"/>
              </w:rPr>
              <w:t>22,574.44</w:t>
            </w:r>
          </w:p>
        </w:tc>
        <w:tc>
          <w:tcPr>
            <w:tcW w:type="dxa" w:w="1040"/>
            <w:vAlign w:val="center"/>
          </w:tcPr>
          <w:p>
            <w:r>
              <w:rPr>
                <w:sz w:val="15"/>
              </w:rPr>
              <w:t>0.0000</w:t>
            </w:r>
          </w:p>
        </w:tc>
        <w:tc>
          <w:tcPr>
            <w:tcW w:type="dxa" w:w="1040"/>
            <w:vAlign w:val="center"/>
          </w:tcPr>
          <w:p>
            <w:r>
              <w:rPr>
                <w:sz w:val="15"/>
              </w:rPr>
              <w:t>259.00</w:t>
            </w:r>
          </w:p>
        </w:tc>
        <w:tc>
          <w:tcPr>
            <w:tcW w:type="dxa" w:w="1040"/>
            <w:vAlign w:val="center"/>
          </w:tcPr>
          <w:p>
            <w:r>
              <w:rPr>
                <w:sz w:val="15"/>
              </w:rPr>
              <w:t>1,747.00</w:t>
            </w:r>
          </w:p>
        </w:tc>
        <w:tc>
          <w:tcPr>
            <w:tcW w:type="dxa" w:w="1040"/>
            <w:vAlign w:val="center"/>
          </w:tcPr>
          <w:p>
            <w:r>
              <w:rPr>
                <w:sz w:val="15"/>
              </w:rPr>
              <w:t>7,254.00</w:t>
            </w:r>
          </w:p>
        </w:tc>
        <w:tc>
          <w:tcPr>
            <w:tcW w:type="dxa" w:w="1040"/>
            <w:vAlign w:val="center"/>
          </w:tcPr>
          <w:p>
            <w:r>
              <w:rPr>
                <w:sz w:val="15"/>
              </w:rPr>
              <w:t>574,675.00</w:t>
            </w:r>
          </w:p>
        </w:tc>
      </w:tr>
    </w:tbl>
    <w:p/>
    <w:p>
      <w:pPr>
        <w:jc w:val="center"/>
      </w:pPr>
      <w:r>
        <w:drawing>
          <wp:inline xmlns:a="http://schemas.openxmlformats.org/drawingml/2006/main" xmlns:pic="http://schemas.openxmlformats.org/drawingml/2006/picture">
            <wp:extent cx="5943600" cy="3714750"/>
            <wp:docPr id="1" name="Picture 1"/>
            <wp:cNvGraphicFramePr>
              <a:graphicFrameLocks noChangeAspect="1"/>
            </wp:cNvGraphicFramePr>
            <a:graphic>
              <a:graphicData uri="http://schemas.openxmlformats.org/drawingml/2006/picture">
                <pic:pic>
                  <pic:nvPicPr>
                    <pic:cNvPr id="0" name="figure_1_expenditure_distribution.png"/>
                    <pic:cNvPicPr/>
                  </pic:nvPicPr>
                  <pic:blipFill>
                    <a:blip r:embed="rId9"/>
                    <a:stretch>
                      <a:fillRect/>
                    </a:stretch>
                  </pic:blipFill>
                  <pic:spPr>
                    <a:xfrm>
                      <a:off x="0" y="0"/>
                      <a:ext cx="5943600" cy="3714750"/>
                    </a:xfrm>
                    <a:prstGeom prst="rect"/>
                  </pic:spPr>
                </pic:pic>
              </a:graphicData>
            </a:graphic>
          </wp:inline>
        </w:drawing>
      </w:r>
    </w:p>
    <w:p>
      <w:pPr>
        <w:jc w:val="center"/>
      </w:pPr>
      <w:r>
        <w:rPr>
          <w:i/>
          <w:sz w:val="18"/>
        </w:rPr>
        <w:t>Figure 1. Distribution of 2023 healthcare expenditures.</w:t>
      </w:r>
    </w:p>
    <w:p>
      <w:pPr>
        <w:jc w:val="center"/>
      </w:pPr>
      <w:r>
        <w:drawing>
          <wp:inline xmlns:a="http://schemas.openxmlformats.org/drawingml/2006/main" xmlns:pic="http://schemas.openxmlformats.org/drawingml/2006/picture">
            <wp:extent cx="5943600" cy="5094514"/>
            <wp:docPr id="2" name="Picture 2"/>
            <wp:cNvGraphicFramePr>
              <a:graphicFrameLocks noChangeAspect="1"/>
            </wp:cNvGraphicFramePr>
            <a:graphic>
              <a:graphicData uri="http://schemas.openxmlformats.org/drawingml/2006/picture">
                <pic:pic>
                  <pic:nvPicPr>
                    <pic:cNvPr id="0" name="figure_2_spending_concentration.png"/>
                    <pic:cNvPicPr/>
                  </pic:nvPicPr>
                  <pic:blipFill>
                    <a:blip r:embed="rId10"/>
                    <a:stretch>
                      <a:fillRect/>
                    </a:stretch>
                  </pic:blipFill>
                  <pic:spPr>
                    <a:xfrm>
                      <a:off x="0" y="0"/>
                      <a:ext cx="5943600" cy="5094514"/>
                    </a:xfrm>
                    <a:prstGeom prst="rect"/>
                  </pic:spPr>
                </pic:pic>
              </a:graphicData>
            </a:graphic>
          </wp:inline>
        </w:drawing>
      </w:r>
    </w:p>
    <w:p>
      <w:pPr>
        <w:jc w:val="center"/>
      </w:pPr>
      <w:r>
        <w:rPr>
          <w:i/>
          <w:sz w:val="18"/>
        </w:rPr>
        <w:t>Figure 2. Weighted concentration curve for 2023 healthcare spending.</w:t>
      </w:r>
    </w:p>
    <w:p>
      <w:pPr>
        <w:jc w:val="center"/>
      </w:pPr>
      <w:r>
        <w:drawing>
          <wp:inline xmlns:a="http://schemas.openxmlformats.org/drawingml/2006/main" xmlns:pic="http://schemas.openxmlformats.org/drawingml/2006/picture">
            <wp:extent cx="5943600" cy="4953000"/>
            <wp:docPr id="3" name="Picture 3"/>
            <wp:cNvGraphicFramePr>
              <a:graphicFrameLocks noChangeAspect="1"/>
            </wp:cNvGraphicFramePr>
            <a:graphic>
              <a:graphicData uri="http://schemas.openxmlformats.org/drawingml/2006/picture">
                <pic:pic>
                  <pic:nvPicPr>
                    <pic:cNvPr id="0" name="figure_3_target_distribution.png"/>
                    <pic:cNvPicPr/>
                  </pic:nvPicPr>
                  <pic:blipFill>
                    <a:blip r:embed="rId11"/>
                    <a:stretch>
                      <a:fillRect/>
                    </a:stretch>
                  </pic:blipFill>
                  <pic:spPr>
                    <a:xfrm>
                      <a:off x="0" y="0"/>
                      <a:ext cx="5943600" cy="4953000"/>
                    </a:xfrm>
                    <a:prstGeom prst="rect"/>
                  </pic:spPr>
                </pic:pic>
              </a:graphicData>
            </a:graphic>
          </wp:inline>
        </w:drawing>
      </w:r>
    </w:p>
    <w:p>
      <w:pPr>
        <w:jc w:val="center"/>
      </w:pPr>
      <w:r>
        <w:rPr>
          <w:i/>
          <w:sz w:val="18"/>
        </w:rPr>
        <w:t>Figure 3. Unweighted class distribution for the high-cost target.</w:t>
      </w:r>
    </w:p>
    <w:p>
      <w:pPr>
        <w:jc w:val="center"/>
      </w:pPr>
      <w:r>
        <w:drawing>
          <wp:inline xmlns:a="http://schemas.openxmlformats.org/drawingml/2006/main" xmlns:pic="http://schemas.openxmlformats.org/drawingml/2006/picture">
            <wp:extent cx="5943600" cy="5094514"/>
            <wp:docPr id="4" name="Picture 4"/>
            <wp:cNvGraphicFramePr>
              <a:graphicFrameLocks noChangeAspect="1"/>
            </wp:cNvGraphicFramePr>
            <a:graphic>
              <a:graphicData uri="http://schemas.openxmlformats.org/drawingml/2006/picture">
                <pic:pic>
                  <pic:nvPicPr>
                    <pic:cNvPr id="0" name="figure_4_prior_future_spending.png"/>
                    <pic:cNvPicPr/>
                  </pic:nvPicPr>
                  <pic:blipFill>
                    <a:blip r:embed="rId12"/>
                    <a:stretch>
                      <a:fillRect/>
                    </a:stretch>
                  </pic:blipFill>
                  <pic:spPr>
                    <a:xfrm>
                      <a:off x="0" y="0"/>
                      <a:ext cx="5943600" cy="5094514"/>
                    </a:xfrm>
                    <a:prstGeom prst="rect"/>
                  </pic:spPr>
                </pic:pic>
              </a:graphicData>
            </a:graphic>
          </wp:inline>
        </w:drawing>
      </w:r>
    </w:p>
    <w:p>
      <w:pPr>
        <w:jc w:val="center"/>
      </w:pPr>
      <w:r>
        <w:rPr>
          <w:i/>
          <w:sz w:val="18"/>
        </w:rPr>
        <w:t>Figure 4. Relationship between prior-year and future healthcare spending.</w:t>
      </w:r>
    </w:p>
    <w:p>
      <w:r>
        <w:t>High-cost individuals had mean 2023 expenditures of $48,895, compared with $3,056 among standard-cost individuals. This gap confirms that the target separates a financially distinct group. However, prior spending and future spending are not perfectly aligned, which supports the need for a multivariable prospective model rather than a simple rule based exclusively on past cost.</w:t>
      </w:r>
    </w:p>
    <w:p>
      <w:pPr>
        <w:pStyle w:val="Heading1"/>
      </w:pPr>
      <w:r>
        <w:t>Methodology Approach and Model Building</w:t>
      </w:r>
    </w:p>
    <w:p>
      <w:pPr>
        <w:pStyle w:val="Heading2"/>
      </w:pPr>
      <w:r>
        <w:t>Modeling Methods</w:t>
      </w:r>
    </w:p>
    <w:p>
      <w:r>
        <w:t>Four supervised classification algorithms were developed. Logistic Regression provided an interpretable baseline and used balanced class weights. Decision Tree supplied transparent nonlinear rules. Random Forest averaged multiple trees to model interactions and reduce single-tree variance. XGBoost sequentially combined shallow trees and used class weighting to address the minority outcome. Preprocessing was performed inside each model pipeline so that imputation, standardization, and categorical encoding were learned only from training data.</w:t>
      </w:r>
    </w:p>
    <w:p>
      <w:pPr>
        <w:pStyle w:val="Heading2"/>
      </w:pPr>
      <w:r>
        <w:t>Test Design</w:t>
      </w:r>
    </w:p>
    <w:p>
      <w:r>
        <w:t>Ten percent of the analytic sample was sealed before model comparison and used only for final validation. The remaining development sample was evaluated using 70/30, 80/20, and 95/5 stratified train-test partitions. Identical random seeds and outcome stratification were used to support comparability. The 95/5 partition was retained because it appears in the professor-provided benchmark, but its small test sample was interpreted cautiously due to higher metric variability.</w:t>
      </w:r>
    </w:p>
    <w:p>
      <w:pPr>
        <w:pStyle w:val="Heading2"/>
      </w:pPr>
      <w:r>
        <w:t>Model Tuning</w:t>
      </w:r>
    </w:p>
    <w:p>
      <w:r>
        <w:rPr>
          <w:b/>
        </w:rPr>
        <w:t>Table 6. Model Settings</w:t>
      </w:r>
    </w:p>
    <w:tbl>
      <w:tblPr>
        <w:tblStyle w:val="TableGrid"/>
        <w:tblW w:type="auto" w:w="0"/>
        <w:jc w:val="center"/>
        <w:tblLook w:firstColumn="1" w:firstRow="1" w:lastColumn="0" w:lastRow="0" w:noHBand="0" w:noVBand="1" w:val="04A0"/>
      </w:tblPr>
      <w:tblGrid>
        <w:gridCol w:w="4680"/>
        <w:gridCol w:w="4680"/>
      </w:tblGrid>
      <w:tr>
        <w:trPr>
          <w:tblHeader w:val="true"/>
        </w:trPr>
        <w:tc>
          <w:tcPr>
            <w:tcW w:type="dxa" w:w="4680"/>
            <w:shd w:fill="1F4E78"/>
          </w:tcPr>
          <w:p>
            <w:r>
              <w:rPr>
                <w:b/>
                <w:color w:val="FFFFFF"/>
                <w:sz w:val="16"/>
              </w:rPr>
              <w:t>Model</w:t>
            </w:r>
          </w:p>
        </w:tc>
        <w:tc>
          <w:tcPr>
            <w:tcW w:type="dxa" w:w="4680"/>
            <w:shd w:fill="1F4E78"/>
          </w:tcPr>
          <w:p>
            <w:r>
              <w:rPr>
                <w:b/>
                <w:color w:val="FFFFFF"/>
                <w:sz w:val="16"/>
              </w:rPr>
              <w:t>Final settings</w:t>
            </w:r>
          </w:p>
        </w:tc>
      </w:tr>
      <w:tr>
        <w:tc>
          <w:tcPr>
            <w:tcW w:type="dxa" w:w="4680"/>
            <w:vAlign w:val="center"/>
          </w:tcPr>
          <w:p>
            <w:r>
              <w:rPr>
                <w:sz w:val="15"/>
              </w:rPr>
              <w:t>Logistic Regression</w:t>
            </w:r>
          </w:p>
        </w:tc>
        <w:tc>
          <w:tcPr>
            <w:tcW w:type="dxa" w:w="4680"/>
            <w:vAlign w:val="center"/>
          </w:tcPr>
          <w:p>
            <w:r>
              <w:rPr>
                <w:sz w:val="15"/>
              </w:rPr>
              <w:t>C = 0.5; balanced class weights; liblinear solver</w:t>
            </w:r>
          </w:p>
        </w:tc>
      </w:tr>
      <w:tr>
        <w:tc>
          <w:tcPr>
            <w:tcW w:type="dxa" w:w="4680"/>
            <w:vAlign w:val="center"/>
          </w:tcPr>
          <w:p>
            <w:r>
              <w:rPr>
                <w:sz w:val="15"/>
              </w:rPr>
              <w:t>Decision Tree</w:t>
            </w:r>
          </w:p>
        </w:tc>
        <w:tc>
          <w:tcPr>
            <w:tcW w:type="dxa" w:w="4680"/>
            <w:vAlign w:val="center"/>
          </w:tcPr>
          <w:p>
            <w:r>
              <w:rPr>
                <w:sz w:val="15"/>
              </w:rPr>
              <w:t>Maximum depth 5; minimum leaf size 25; balanced weights</w:t>
            </w:r>
          </w:p>
        </w:tc>
      </w:tr>
      <w:tr>
        <w:tc>
          <w:tcPr>
            <w:tcW w:type="dxa" w:w="4680"/>
            <w:vAlign w:val="center"/>
          </w:tcPr>
          <w:p>
            <w:r>
              <w:rPr>
                <w:sz w:val="15"/>
              </w:rPr>
              <w:t>Random Forest</w:t>
            </w:r>
          </w:p>
        </w:tc>
        <w:tc>
          <w:tcPr>
            <w:tcW w:type="dxa" w:w="4680"/>
            <w:vAlign w:val="center"/>
          </w:tcPr>
          <w:p>
            <w:r>
              <w:rPr>
                <w:sz w:val="15"/>
              </w:rPr>
              <w:t>220 trees; maximum depth 12; minimum leaf size 5; square-root feature sampling</w:t>
            </w:r>
          </w:p>
        </w:tc>
      </w:tr>
      <w:tr>
        <w:tc>
          <w:tcPr>
            <w:tcW w:type="dxa" w:w="4680"/>
            <w:vAlign w:val="center"/>
          </w:tcPr>
          <w:p>
            <w:r>
              <w:rPr>
                <w:sz w:val="15"/>
              </w:rPr>
              <w:t>XGBoost</w:t>
            </w:r>
          </w:p>
        </w:tc>
        <w:tc>
          <w:tcPr>
            <w:tcW w:type="dxa" w:w="4680"/>
            <w:vAlign w:val="center"/>
          </w:tcPr>
          <w:p>
            <w:r>
              <w:rPr>
                <w:sz w:val="15"/>
              </w:rPr>
              <w:t>250 trees; learning rate .04; depth 3; minimum child weight 5; subsampling .85; L2 regularization 5</w:t>
            </w:r>
          </w:p>
        </w:tc>
      </w:tr>
    </w:tbl>
    <w:p/>
    <w:p>
      <w:pPr>
        <w:pStyle w:val="Heading2"/>
      </w:pPr>
      <w:r>
        <w:t>Model Assessment</w:t>
      </w:r>
    </w:p>
    <w:p>
      <w:r>
        <w:rPr>
          <w:b/>
        </w:rPr>
        <w:t>Table 7. Model Performance Across Train-Test Partitions</w:t>
      </w:r>
    </w:p>
    <w:tbl>
      <w:tblPr>
        <w:tblStyle w:val="TableGrid"/>
        <w:tblW w:type="auto" w:w="0"/>
        <w:jc w:val="center"/>
        <w:tblLook w:firstColumn="1" w:firstRow="1" w:lastColumn="0" w:lastRow="0" w:noHBand="0" w:noVBand="1" w:val="04A0"/>
      </w:tblPr>
      <w:tblGrid>
        <w:gridCol w:w="780"/>
        <w:gridCol w:w="780"/>
        <w:gridCol w:w="780"/>
        <w:gridCol w:w="780"/>
        <w:gridCol w:w="780"/>
        <w:gridCol w:w="780"/>
        <w:gridCol w:w="780"/>
        <w:gridCol w:w="780"/>
        <w:gridCol w:w="780"/>
        <w:gridCol w:w="780"/>
        <w:gridCol w:w="780"/>
        <w:gridCol w:w="780"/>
      </w:tblGrid>
      <w:tr>
        <w:trPr>
          <w:tblHeader w:val="true"/>
        </w:trPr>
        <w:tc>
          <w:tcPr>
            <w:tcW w:type="dxa" w:w="780"/>
            <w:shd w:fill="1F4E78"/>
          </w:tcPr>
          <w:p>
            <w:r>
              <w:rPr>
                <w:b/>
                <w:color w:val="FFFFFF"/>
                <w:sz w:val="16"/>
              </w:rPr>
              <w:t>Split</w:t>
            </w:r>
          </w:p>
        </w:tc>
        <w:tc>
          <w:tcPr>
            <w:tcW w:type="dxa" w:w="780"/>
            <w:shd w:fill="1F4E78"/>
          </w:tcPr>
          <w:p>
            <w:r>
              <w:rPr>
                <w:b/>
                <w:color w:val="FFFFFF"/>
                <w:sz w:val="16"/>
              </w:rPr>
              <w:t>Model</w:t>
            </w:r>
          </w:p>
        </w:tc>
        <w:tc>
          <w:tcPr>
            <w:tcW w:type="dxa" w:w="780"/>
            <w:shd w:fill="1F4E78"/>
          </w:tcPr>
          <w:p>
            <w:r>
              <w:rPr>
                <w:b/>
                <w:color w:val="FFFFFF"/>
                <w:sz w:val="16"/>
              </w:rPr>
              <w:t>Accuracy</w:t>
            </w:r>
          </w:p>
        </w:tc>
        <w:tc>
          <w:tcPr>
            <w:tcW w:type="dxa" w:w="780"/>
            <w:shd w:fill="1F4E78"/>
          </w:tcPr>
          <w:p>
            <w:r>
              <w:rPr>
                <w:b/>
                <w:color w:val="FFFFFF"/>
                <w:sz w:val="16"/>
              </w:rPr>
              <w:t>Precision</w:t>
            </w:r>
          </w:p>
        </w:tc>
        <w:tc>
          <w:tcPr>
            <w:tcW w:type="dxa" w:w="780"/>
            <w:shd w:fill="1F4E78"/>
          </w:tcPr>
          <w:p>
            <w:r>
              <w:rPr>
                <w:b/>
                <w:color w:val="FFFFFF"/>
                <w:sz w:val="16"/>
              </w:rPr>
              <w:t>Recall</w:t>
            </w:r>
          </w:p>
        </w:tc>
        <w:tc>
          <w:tcPr>
            <w:tcW w:type="dxa" w:w="780"/>
            <w:shd w:fill="1F4E78"/>
          </w:tcPr>
          <w:p>
            <w:r>
              <w:rPr>
                <w:b/>
                <w:color w:val="FFFFFF"/>
                <w:sz w:val="16"/>
              </w:rPr>
              <w:t>Specificity</w:t>
            </w:r>
          </w:p>
        </w:tc>
        <w:tc>
          <w:tcPr>
            <w:tcW w:type="dxa" w:w="780"/>
            <w:shd w:fill="1F4E78"/>
          </w:tcPr>
          <w:p>
            <w:r>
              <w:rPr>
                <w:b/>
                <w:color w:val="FFFFFF"/>
                <w:sz w:val="16"/>
              </w:rPr>
              <w:t>F1</w:t>
            </w:r>
          </w:p>
        </w:tc>
        <w:tc>
          <w:tcPr>
            <w:tcW w:type="dxa" w:w="780"/>
            <w:shd w:fill="1F4E78"/>
          </w:tcPr>
          <w:p>
            <w:r>
              <w:rPr>
                <w:b/>
                <w:color w:val="FFFFFF"/>
                <w:sz w:val="16"/>
              </w:rPr>
              <w:t>Balanced_Accuracy</w:t>
            </w:r>
          </w:p>
        </w:tc>
        <w:tc>
          <w:tcPr>
            <w:tcW w:type="dxa" w:w="780"/>
            <w:shd w:fill="1F4E78"/>
          </w:tcPr>
          <w:p>
            <w:r>
              <w:rPr>
                <w:b/>
                <w:color w:val="FFFFFF"/>
                <w:sz w:val="16"/>
              </w:rPr>
              <w:t>ROC_AUC</w:t>
            </w:r>
          </w:p>
        </w:tc>
        <w:tc>
          <w:tcPr>
            <w:tcW w:type="dxa" w:w="780"/>
            <w:shd w:fill="1F4E78"/>
          </w:tcPr>
          <w:p>
            <w:r>
              <w:rPr>
                <w:b/>
                <w:color w:val="FFFFFF"/>
                <w:sz w:val="16"/>
              </w:rPr>
              <w:t>PR_AUC</w:t>
            </w:r>
          </w:p>
        </w:tc>
        <w:tc>
          <w:tcPr>
            <w:tcW w:type="dxa" w:w="780"/>
            <w:shd w:fill="1F4E78"/>
          </w:tcPr>
          <w:p>
            <w:r>
              <w:rPr>
                <w:b/>
                <w:color w:val="FFFFFF"/>
                <w:sz w:val="16"/>
              </w:rPr>
              <w:t>Top_Decile_Capture</w:t>
            </w:r>
          </w:p>
        </w:tc>
        <w:tc>
          <w:tcPr>
            <w:tcW w:type="dxa" w:w="780"/>
            <w:shd w:fill="1F4E78"/>
          </w:tcPr>
          <w:p>
            <w:r>
              <w:rPr>
                <w:b/>
                <w:color w:val="FFFFFF"/>
                <w:sz w:val="16"/>
              </w:rPr>
              <w:t>Top_Decile_Lift</w:t>
            </w:r>
          </w:p>
        </w:tc>
      </w:tr>
      <w:tr>
        <w:tc>
          <w:tcPr>
            <w:tcW w:type="dxa" w:w="780"/>
            <w:vAlign w:val="center"/>
          </w:tcPr>
          <w:p>
            <w:r>
              <w:rPr>
                <w:sz w:val="15"/>
              </w:rPr>
              <w:t>70/30</w:t>
            </w:r>
          </w:p>
        </w:tc>
        <w:tc>
          <w:tcPr>
            <w:tcW w:type="dxa" w:w="780"/>
            <w:vAlign w:val="center"/>
          </w:tcPr>
          <w:p>
            <w:r>
              <w:rPr>
                <w:sz w:val="15"/>
              </w:rPr>
              <w:t>Logistic Regression</w:t>
            </w:r>
          </w:p>
        </w:tc>
        <w:tc>
          <w:tcPr>
            <w:tcW w:type="dxa" w:w="780"/>
            <w:vAlign w:val="center"/>
          </w:tcPr>
          <w:p>
            <w:r>
              <w:rPr>
                <w:sz w:val="15"/>
              </w:rPr>
              <w:t>0.7649</w:t>
            </w:r>
          </w:p>
        </w:tc>
        <w:tc>
          <w:tcPr>
            <w:tcW w:type="dxa" w:w="780"/>
            <w:vAlign w:val="center"/>
          </w:tcPr>
          <w:p>
            <w:r>
              <w:rPr>
                <w:sz w:val="15"/>
              </w:rPr>
              <w:t>0.3035</w:t>
            </w:r>
          </w:p>
        </w:tc>
        <w:tc>
          <w:tcPr>
            <w:tcW w:type="dxa" w:w="780"/>
            <w:vAlign w:val="center"/>
          </w:tcPr>
          <w:p>
            <w:r>
              <w:rPr>
                <w:sz w:val="15"/>
              </w:rPr>
              <w:t>0.7692</w:t>
            </w:r>
          </w:p>
        </w:tc>
        <w:tc>
          <w:tcPr>
            <w:tcW w:type="dxa" w:w="780"/>
            <w:vAlign w:val="center"/>
          </w:tcPr>
          <w:p>
            <w:r>
              <w:rPr>
                <w:sz w:val="15"/>
              </w:rPr>
              <w:t>0.7644</w:t>
            </w:r>
          </w:p>
        </w:tc>
        <w:tc>
          <w:tcPr>
            <w:tcW w:type="dxa" w:w="780"/>
            <w:vAlign w:val="center"/>
          </w:tcPr>
          <w:p>
            <w:r>
              <w:rPr>
                <w:sz w:val="15"/>
              </w:rPr>
              <w:t>0.4353</w:t>
            </w:r>
          </w:p>
        </w:tc>
        <w:tc>
          <w:tcPr>
            <w:tcW w:type="dxa" w:w="780"/>
            <w:vAlign w:val="center"/>
          </w:tcPr>
          <w:p>
            <w:r>
              <w:rPr>
                <w:sz w:val="15"/>
              </w:rPr>
              <w:t>0.7668</w:t>
            </w:r>
          </w:p>
        </w:tc>
        <w:tc>
          <w:tcPr>
            <w:tcW w:type="dxa" w:w="780"/>
            <w:vAlign w:val="center"/>
          </w:tcPr>
          <w:p>
            <w:r>
              <w:rPr>
                <w:sz w:val="15"/>
              </w:rPr>
              <w:t>0.8536</w:t>
            </w:r>
          </w:p>
        </w:tc>
        <w:tc>
          <w:tcPr>
            <w:tcW w:type="dxa" w:w="780"/>
            <w:vAlign w:val="center"/>
          </w:tcPr>
          <w:p>
            <w:r>
              <w:rPr>
                <w:sz w:val="15"/>
              </w:rPr>
              <w:t>0.4628</w:t>
            </w:r>
          </w:p>
        </w:tc>
        <w:tc>
          <w:tcPr>
            <w:tcW w:type="dxa" w:w="780"/>
            <w:vAlign w:val="center"/>
          </w:tcPr>
          <w:p>
            <w:r>
              <w:rPr>
                <w:sz w:val="15"/>
              </w:rPr>
              <w:t>0.4577</w:t>
            </w:r>
          </w:p>
        </w:tc>
        <w:tc>
          <w:tcPr>
            <w:tcW w:type="dxa" w:w="780"/>
            <w:vAlign w:val="center"/>
          </w:tcPr>
          <w:p>
            <w:r>
              <w:rPr>
                <w:sz w:val="15"/>
              </w:rPr>
              <w:t>4.5936</w:t>
            </w:r>
          </w:p>
        </w:tc>
      </w:tr>
      <w:tr>
        <w:tc>
          <w:tcPr>
            <w:tcW w:type="dxa" w:w="780"/>
            <w:vAlign w:val="center"/>
          </w:tcPr>
          <w:p>
            <w:r>
              <w:rPr>
                <w:sz w:val="15"/>
              </w:rPr>
              <w:t>70/30</w:t>
            </w:r>
          </w:p>
        </w:tc>
        <w:tc>
          <w:tcPr>
            <w:tcW w:type="dxa" w:w="780"/>
            <w:vAlign w:val="center"/>
          </w:tcPr>
          <w:p>
            <w:r>
              <w:rPr>
                <w:sz w:val="15"/>
              </w:rPr>
              <w:t>Decision Tree</w:t>
            </w:r>
          </w:p>
        </w:tc>
        <w:tc>
          <w:tcPr>
            <w:tcW w:type="dxa" w:w="780"/>
            <w:vAlign w:val="center"/>
          </w:tcPr>
          <w:p>
            <w:r>
              <w:rPr>
                <w:sz w:val="15"/>
              </w:rPr>
              <w:t>0.7971</w:t>
            </w:r>
          </w:p>
        </w:tc>
        <w:tc>
          <w:tcPr>
            <w:tcW w:type="dxa" w:w="780"/>
            <w:vAlign w:val="center"/>
          </w:tcPr>
          <w:p>
            <w:r>
              <w:rPr>
                <w:sz w:val="15"/>
              </w:rPr>
              <w:t>0.3374</w:t>
            </w:r>
          </w:p>
        </w:tc>
        <w:tc>
          <w:tcPr>
            <w:tcW w:type="dxa" w:w="780"/>
            <w:vAlign w:val="center"/>
          </w:tcPr>
          <w:p>
            <w:r>
              <w:rPr>
                <w:sz w:val="15"/>
              </w:rPr>
              <w:t>0.7500</w:t>
            </w:r>
          </w:p>
        </w:tc>
        <w:tc>
          <w:tcPr>
            <w:tcW w:type="dxa" w:w="780"/>
            <w:vAlign w:val="center"/>
          </w:tcPr>
          <w:p>
            <w:r>
              <w:rPr>
                <w:sz w:val="15"/>
              </w:rPr>
              <w:t>0.8034</w:t>
            </w:r>
          </w:p>
        </w:tc>
        <w:tc>
          <w:tcPr>
            <w:tcW w:type="dxa" w:w="780"/>
            <w:vAlign w:val="center"/>
          </w:tcPr>
          <w:p>
            <w:r>
              <w:rPr>
                <w:sz w:val="15"/>
              </w:rPr>
              <w:t>0.4654</w:t>
            </w:r>
          </w:p>
        </w:tc>
        <w:tc>
          <w:tcPr>
            <w:tcW w:type="dxa" w:w="780"/>
            <w:vAlign w:val="center"/>
          </w:tcPr>
          <w:p>
            <w:r>
              <w:rPr>
                <w:sz w:val="15"/>
              </w:rPr>
              <w:t>0.7767</w:t>
            </w:r>
          </w:p>
        </w:tc>
        <w:tc>
          <w:tcPr>
            <w:tcW w:type="dxa" w:w="780"/>
            <w:vAlign w:val="center"/>
          </w:tcPr>
          <w:p>
            <w:r>
              <w:rPr>
                <w:sz w:val="15"/>
              </w:rPr>
              <w:t>0.8422</w:t>
            </w:r>
          </w:p>
        </w:tc>
        <w:tc>
          <w:tcPr>
            <w:tcW w:type="dxa" w:w="780"/>
            <w:vAlign w:val="center"/>
          </w:tcPr>
          <w:p>
            <w:r>
              <w:rPr>
                <w:sz w:val="15"/>
              </w:rPr>
              <w:t>0.4378</w:t>
            </w:r>
          </w:p>
        </w:tc>
        <w:tc>
          <w:tcPr>
            <w:tcW w:type="dxa" w:w="780"/>
            <w:vAlign w:val="center"/>
          </w:tcPr>
          <w:p>
            <w:r>
              <w:rPr>
                <w:sz w:val="15"/>
              </w:rPr>
              <w:t>0.4269</w:t>
            </w:r>
          </w:p>
        </w:tc>
        <w:tc>
          <w:tcPr>
            <w:tcW w:type="dxa" w:w="780"/>
            <w:vAlign w:val="center"/>
          </w:tcPr>
          <w:p>
            <w:r>
              <w:rPr>
                <w:sz w:val="15"/>
              </w:rPr>
              <w:t>4.2848</w:t>
            </w:r>
          </w:p>
        </w:tc>
      </w:tr>
      <w:tr>
        <w:tc>
          <w:tcPr>
            <w:tcW w:type="dxa" w:w="780"/>
            <w:vAlign w:val="center"/>
          </w:tcPr>
          <w:p>
            <w:r>
              <w:rPr>
                <w:sz w:val="15"/>
              </w:rPr>
              <w:t>70/30</w:t>
            </w:r>
          </w:p>
        </w:tc>
        <w:tc>
          <w:tcPr>
            <w:tcW w:type="dxa" w:w="780"/>
            <w:vAlign w:val="center"/>
          </w:tcPr>
          <w:p>
            <w:r>
              <w:rPr>
                <w:sz w:val="15"/>
              </w:rPr>
              <w:t>Random Forest</w:t>
            </w:r>
          </w:p>
        </w:tc>
        <w:tc>
          <w:tcPr>
            <w:tcW w:type="dxa" w:w="780"/>
            <w:vAlign w:val="center"/>
          </w:tcPr>
          <w:p>
            <w:r>
              <w:rPr>
                <w:sz w:val="15"/>
              </w:rPr>
              <w:t>0.8668</w:t>
            </w:r>
          </w:p>
        </w:tc>
        <w:tc>
          <w:tcPr>
            <w:tcW w:type="dxa" w:w="780"/>
            <w:vAlign w:val="center"/>
          </w:tcPr>
          <w:p>
            <w:r>
              <w:rPr>
                <w:sz w:val="15"/>
              </w:rPr>
              <w:t>0.4530</w:t>
            </w:r>
          </w:p>
        </w:tc>
        <w:tc>
          <w:tcPr>
            <w:tcW w:type="dxa" w:w="780"/>
            <w:vAlign w:val="center"/>
          </w:tcPr>
          <w:p>
            <w:r>
              <w:rPr>
                <w:sz w:val="15"/>
              </w:rPr>
              <w:t>0.6308</w:t>
            </w:r>
          </w:p>
        </w:tc>
        <w:tc>
          <w:tcPr>
            <w:tcW w:type="dxa" w:w="780"/>
            <w:vAlign w:val="center"/>
          </w:tcPr>
          <w:p>
            <w:r>
              <w:rPr>
                <w:sz w:val="15"/>
              </w:rPr>
              <w:t>0.8984</w:t>
            </w:r>
          </w:p>
        </w:tc>
        <w:tc>
          <w:tcPr>
            <w:tcW w:type="dxa" w:w="780"/>
            <w:vAlign w:val="center"/>
          </w:tcPr>
          <w:p>
            <w:r>
              <w:rPr>
                <w:sz w:val="15"/>
              </w:rPr>
              <w:t>0.5273</w:t>
            </w:r>
          </w:p>
        </w:tc>
        <w:tc>
          <w:tcPr>
            <w:tcW w:type="dxa" w:w="780"/>
            <w:vAlign w:val="center"/>
          </w:tcPr>
          <w:p>
            <w:r>
              <w:rPr>
                <w:sz w:val="15"/>
              </w:rPr>
              <w:t>0.7646</w:t>
            </w:r>
          </w:p>
        </w:tc>
        <w:tc>
          <w:tcPr>
            <w:tcW w:type="dxa" w:w="780"/>
            <w:vAlign w:val="center"/>
          </w:tcPr>
          <w:p>
            <w:r>
              <w:rPr>
                <w:sz w:val="15"/>
              </w:rPr>
              <w:t>0.8609</w:t>
            </w:r>
          </w:p>
        </w:tc>
        <w:tc>
          <w:tcPr>
            <w:tcW w:type="dxa" w:w="780"/>
            <w:vAlign w:val="center"/>
          </w:tcPr>
          <w:p>
            <w:r>
              <w:rPr>
                <w:sz w:val="15"/>
              </w:rPr>
              <w:t>0.4944</w:t>
            </w:r>
          </w:p>
        </w:tc>
        <w:tc>
          <w:tcPr>
            <w:tcW w:type="dxa" w:w="780"/>
            <w:vAlign w:val="center"/>
          </w:tcPr>
          <w:p>
            <w:r>
              <w:rPr>
                <w:sz w:val="15"/>
              </w:rPr>
              <w:t>0.4731</w:t>
            </w:r>
          </w:p>
        </w:tc>
        <w:tc>
          <w:tcPr>
            <w:tcW w:type="dxa" w:w="780"/>
            <w:vAlign w:val="center"/>
          </w:tcPr>
          <w:p>
            <w:r>
              <w:rPr>
                <w:sz w:val="15"/>
              </w:rPr>
              <w:t>4.7480</w:t>
            </w:r>
          </w:p>
        </w:tc>
      </w:tr>
      <w:tr>
        <w:tc>
          <w:tcPr>
            <w:tcW w:type="dxa" w:w="780"/>
            <w:vAlign w:val="center"/>
          </w:tcPr>
          <w:p>
            <w:r>
              <w:rPr>
                <w:sz w:val="15"/>
              </w:rPr>
              <w:t>70/30</w:t>
            </w:r>
          </w:p>
        </w:tc>
        <w:tc>
          <w:tcPr>
            <w:tcW w:type="dxa" w:w="780"/>
            <w:vAlign w:val="center"/>
          </w:tcPr>
          <w:p>
            <w:r>
              <w:rPr>
                <w:sz w:val="15"/>
              </w:rPr>
              <w:t>XGBoost</w:t>
            </w:r>
          </w:p>
        </w:tc>
        <w:tc>
          <w:tcPr>
            <w:tcW w:type="dxa" w:w="780"/>
            <w:vAlign w:val="center"/>
          </w:tcPr>
          <w:p>
            <w:r>
              <w:rPr>
                <w:sz w:val="15"/>
              </w:rPr>
              <w:t>0.8134</w:t>
            </w:r>
          </w:p>
        </w:tc>
        <w:tc>
          <w:tcPr>
            <w:tcW w:type="dxa" w:w="780"/>
            <w:vAlign w:val="center"/>
          </w:tcPr>
          <w:p>
            <w:r>
              <w:rPr>
                <w:sz w:val="15"/>
              </w:rPr>
              <w:t>0.3603</w:t>
            </w:r>
          </w:p>
        </w:tc>
        <w:tc>
          <w:tcPr>
            <w:tcW w:type="dxa" w:w="780"/>
            <w:vAlign w:val="center"/>
          </w:tcPr>
          <w:p>
            <w:r>
              <w:rPr>
                <w:sz w:val="15"/>
              </w:rPr>
              <w:t>0.7538</w:t>
            </w:r>
          </w:p>
        </w:tc>
        <w:tc>
          <w:tcPr>
            <w:tcW w:type="dxa" w:w="780"/>
            <w:vAlign w:val="center"/>
          </w:tcPr>
          <w:p>
            <w:r>
              <w:rPr>
                <w:sz w:val="15"/>
              </w:rPr>
              <w:t>0.8214</w:t>
            </w:r>
          </w:p>
        </w:tc>
        <w:tc>
          <w:tcPr>
            <w:tcW w:type="dxa" w:w="780"/>
            <w:vAlign w:val="center"/>
          </w:tcPr>
          <w:p>
            <w:r>
              <w:rPr>
                <w:sz w:val="15"/>
              </w:rPr>
              <w:t>0.4876</w:t>
            </w:r>
          </w:p>
        </w:tc>
        <w:tc>
          <w:tcPr>
            <w:tcW w:type="dxa" w:w="780"/>
            <w:vAlign w:val="center"/>
          </w:tcPr>
          <w:p>
            <w:r>
              <w:rPr>
                <w:sz w:val="15"/>
              </w:rPr>
              <w:t>0.7876</w:t>
            </w:r>
          </w:p>
        </w:tc>
        <w:tc>
          <w:tcPr>
            <w:tcW w:type="dxa" w:w="780"/>
            <w:vAlign w:val="center"/>
          </w:tcPr>
          <w:p>
            <w:r>
              <w:rPr>
                <w:sz w:val="15"/>
              </w:rPr>
              <w:t>0.8610</w:t>
            </w:r>
          </w:p>
        </w:tc>
        <w:tc>
          <w:tcPr>
            <w:tcW w:type="dxa" w:w="780"/>
            <w:vAlign w:val="center"/>
          </w:tcPr>
          <w:p>
            <w:r>
              <w:rPr>
                <w:sz w:val="15"/>
              </w:rPr>
              <w:t>0.4890</w:t>
            </w:r>
          </w:p>
        </w:tc>
        <w:tc>
          <w:tcPr>
            <w:tcW w:type="dxa" w:w="780"/>
            <w:vAlign w:val="center"/>
          </w:tcPr>
          <w:p>
            <w:r>
              <w:rPr>
                <w:sz w:val="15"/>
              </w:rPr>
              <w:t>0.4538</w:t>
            </w:r>
          </w:p>
        </w:tc>
        <w:tc>
          <w:tcPr>
            <w:tcW w:type="dxa" w:w="780"/>
            <w:vAlign w:val="center"/>
          </w:tcPr>
          <w:p>
            <w:r>
              <w:rPr>
                <w:sz w:val="15"/>
              </w:rPr>
              <w:t>4.5550</w:t>
            </w:r>
          </w:p>
        </w:tc>
      </w:tr>
      <w:tr>
        <w:tc>
          <w:tcPr>
            <w:tcW w:type="dxa" w:w="780"/>
            <w:vAlign w:val="center"/>
          </w:tcPr>
          <w:p>
            <w:r>
              <w:rPr>
                <w:sz w:val="15"/>
              </w:rPr>
              <w:t>80/20</w:t>
            </w:r>
          </w:p>
        </w:tc>
        <w:tc>
          <w:tcPr>
            <w:tcW w:type="dxa" w:w="780"/>
            <w:vAlign w:val="center"/>
          </w:tcPr>
          <w:p>
            <w:r>
              <w:rPr>
                <w:sz w:val="15"/>
              </w:rPr>
              <w:t>Logistic Regression</w:t>
            </w:r>
          </w:p>
        </w:tc>
        <w:tc>
          <w:tcPr>
            <w:tcW w:type="dxa" w:w="780"/>
            <w:vAlign w:val="center"/>
          </w:tcPr>
          <w:p>
            <w:r>
              <w:rPr>
                <w:sz w:val="15"/>
              </w:rPr>
              <w:t>0.7582</w:t>
            </w:r>
          </w:p>
        </w:tc>
        <w:tc>
          <w:tcPr>
            <w:tcW w:type="dxa" w:w="780"/>
            <w:vAlign w:val="center"/>
          </w:tcPr>
          <w:p>
            <w:r>
              <w:rPr>
                <w:sz w:val="15"/>
              </w:rPr>
              <w:t>0.2935</w:t>
            </w:r>
          </w:p>
        </w:tc>
        <w:tc>
          <w:tcPr>
            <w:tcW w:type="dxa" w:w="780"/>
            <w:vAlign w:val="center"/>
          </w:tcPr>
          <w:p>
            <w:r>
              <w:rPr>
                <w:sz w:val="15"/>
              </w:rPr>
              <w:t>0.7514</w:t>
            </w:r>
          </w:p>
        </w:tc>
        <w:tc>
          <w:tcPr>
            <w:tcW w:type="dxa" w:w="780"/>
            <w:vAlign w:val="center"/>
          </w:tcPr>
          <w:p>
            <w:r>
              <w:rPr>
                <w:sz w:val="15"/>
              </w:rPr>
              <w:t>0.7590</w:t>
            </w:r>
          </w:p>
        </w:tc>
        <w:tc>
          <w:tcPr>
            <w:tcW w:type="dxa" w:w="780"/>
            <w:vAlign w:val="center"/>
          </w:tcPr>
          <w:p>
            <w:r>
              <w:rPr>
                <w:sz w:val="15"/>
              </w:rPr>
              <w:t>0.4221</w:t>
            </w:r>
          </w:p>
        </w:tc>
        <w:tc>
          <w:tcPr>
            <w:tcW w:type="dxa" w:w="780"/>
            <w:vAlign w:val="center"/>
          </w:tcPr>
          <w:p>
            <w:r>
              <w:rPr>
                <w:sz w:val="15"/>
              </w:rPr>
              <w:t>0.7552</w:t>
            </w:r>
          </w:p>
        </w:tc>
        <w:tc>
          <w:tcPr>
            <w:tcW w:type="dxa" w:w="780"/>
            <w:vAlign w:val="center"/>
          </w:tcPr>
          <w:p>
            <w:r>
              <w:rPr>
                <w:sz w:val="15"/>
              </w:rPr>
              <w:t>0.8355</w:t>
            </w:r>
          </w:p>
        </w:tc>
        <w:tc>
          <w:tcPr>
            <w:tcW w:type="dxa" w:w="780"/>
            <w:vAlign w:val="center"/>
          </w:tcPr>
          <w:p>
            <w:r>
              <w:rPr>
                <w:sz w:val="15"/>
              </w:rPr>
              <w:t>0.4622</w:t>
            </w:r>
          </w:p>
        </w:tc>
        <w:tc>
          <w:tcPr>
            <w:tcW w:type="dxa" w:w="780"/>
            <w:vAlign w:val="center"/>
          </w:tcPr>
          <w:p>
            <w:r>
              <w:rPr>
                <w:sz w:val="15"/>
              </w:rPr>
              <w:t>0.4624</w:t>
            </w:r>
          </w:p>
        </w:tc>
        <w:tc>
          <w:tcPr>
            <w:tcW w:type="dxa" w:w="780"/>
            <w:vAlign w:val="center"/>
          </w:tcPr>
          <w:p>
            <w:r>
              <w:rPr>
                <w:sz w:val="15"/>
              </w:rPr>
              <w:t>4.6306</w:t>
            </w:r>
          </w:p>
        </w:tc>
      </w:tr>
      <w:tr>
        <w:tc>
          <w:tcPr>
            <w:tcW w:type="dxa" w:w="780"/>
            <w:vAlign w:val="center"/>
          </w:tcPr>
          <w:p>
            <w:r>
              <w:rPr>
                <w:sz w:val="15"/>
              </w:rPr>
              <w:t>80/20</w:t>
            </w:r>
          </w:p>
        </w:tc>
        <w:tc>
          <w:tcPr>
            <w:tcW w:type="dxa" w:w="780"/>
            <w:vAlign w:val="center"/>
          </w:tcPr>
          <w:p>
            <w:r>
              <w:rPr>
                <w:sz w:val="15"/>
              </w:rPr>
              <w:t>Decision Tree</w:t>
            </w:r>
          </w:p>
        </w:tc>
        <w:tc>
          <w:tcPr>
            <w:tcW w:type="dxa" w:w="780"/>
            <w:vAlign w:val="center"/>
          </w:tcPr>
          <w:p>
            <w:r>
              <w:rPr>
                <w:sz w:val="15"/>
              </w:rPr>
              <w:t>0.7874</w:t>
            </w:r>
          </w:p>
        </w:tc>
        <w:tc>
          <w:tcPr>
            <w:tcW w:type="dxa" w:w="780"/>
            <w:vAlign w:val="center"/>
          </w:tcPr>
          <w:p>
            <w:r>
              <w:rPr>
                <w:sz w:val="15"/>
              </w:rPr>
              <w:t>0.3214</w:t>
            </w:r>
          </w:p>
        </w:tc>
        <w:tc>
          <w:tcPr>
            <w:tcW w:type="dxa" w:w="780"/>
            <w:vAlign w:val="center"/>
          </w:tcPr>
          <w:p>
            <w:r>
              <w:rPr>
                <w:sz w:val="15"/>
              </w:rPr>
              <w:t>0.7283</w:t>
            </w:r>
          </w:p>
        </w:tc>
        <w:tc>
          <w:tcPr>
            <w:tcW w:type="dxa" w:w="780"/>
            <w:vAlign w:val="center"/>
          </w:tcPr>
          <w:p>
            <w:r>
              <w:rPr>
                <w:sz w:val="15"/>
              </w:rPr>
              <w:t>0.7952</w:t>
            </w:r>
          </w:p>
        </w:tc>
        <w:tc>
          <w:tcPr>
            <w:tcW w:type="dxa" w:w="780"/>
            <w:vAlign w:val="center"/>
          </w:tcPr>
          <w:p>
            <w:r>
              <w:rPr>
                <w:sz w:val="15"/>
              </w:rPr>
              <w:t>0.4460</w:t>
            </w:r>
          </w:p>
        </w:tc>
        <w:tc>
          <w:tcPr>
            <w:tcW w:type="dxa" w:w="780"/>
            <w:vAlign w:val="center"/>
          </w:tcPr>
          <w:p>
            <w:r>
              <w:rPr>
                <w:sz w:val="15"/>
              </w:rPr>
              <w:t>0.7618</w:t>
            </w:r>
          </w:p>
        </w:tc>
        <w:tc>
          <w:tcPr>
            <w:tcW w:type="dxa" w:w="780"/>
            <w:vAlign w:val="center"/>
          </w:tcPr>
          <w:p>
            <w:r>
              <w:rPr>
                <w:sz w:val="15"/>
              </w:rPr>
              <w:t>0.8234</w:t>
            </w:r>
          </w:p>
        </w:tc>
        <w:tc>
          <w:tcPr>
            <w:tcW w:type="dxa" w:w="780"/>
            <w:vAlign w:val="center"/>
          </w:tcPr>
          <w:p>
            <w:r>
              <w:rPr>
                <w:sz w:val="15"/>
              </w:rPr>
              <w:t>0.4041</w:t>
            </w:r>
          </w:p>
        </w:tc>
        <w:tc>
          <w:tcPr>
            <w:tcW w:type="dxa" w:w="780"/>
            <w:vAlign w:val="center"/>
          </w:tcPr>
          <w:p>
            <w:r>
              <w:rPr>
                <w:sz w:val="15"/>
              </w:rPr>
              <w:t>0.4566</w:t>
            </w:r>
          </w:p>
        </w:tc>
        <w:tc>
          <w:tcPr>
            <w:tcW w:type="dxa" w:w="780"/>
            <w:vAlign w:val="center"/>
          </w:tcPr>
          <w:p>
            <w:r>
              <w:rPr>
                <w:sz w:val="15"/>
              </w:rPr>
              <w:t>4.5727</w:t>
            </w:r>
          </w:p>
        </w:tc>
      </w:tr>
      <w:tr>
        <w:tc>
          <w:tcPr>
            <w:tcW w:type="dxa" w:w="780"/>
            <w:vAlign w:val="center"/>
          </w:tcPr>
          <w:p>
            <w:r>
              <w:rPr>
                <w:sz w:val="15"/>
              </w:rPr>
              <w:t>80/20</w:t>
            </w:r>
          </w:p>
        </w:tc>
        <w:tc>
          <w:tcPr>
            <w:tcW w:type="dxa" w:w="780"/>
            <w:vAlign w:val="center"/>
          </w:tcPr>
          <w:p>
            <w:r>
              <w:rPr>
                <w:sz w:val="15"/>
              </w:rPr>
              <w:t>Random Forest</w:t>
            </w:r>
          </w:p>
        </w:tc>
        <w:tc>
          <w:tcPr>
            <w:tcW w:type="dxa" w:w="780"/>
            <w:vAlign w:val="center"/>
          </w:tcPr>
          <w:p>
            <w:r>
              <w:rPr>
                <w:sz w:val="15"/>
              </w:rPr>
              <w:t>0.8560</w:t>
            </w:r>
          </w:p>
        </w:tc>
        <w:tc>
          <w:tcPr>
            <w:tcW w:type="dxa" w:w="780"/>
            <w:vAlign w:val="center"/>
          </w:tcPr>
          <w:p>
            <w:r>
              <w:rPr>
                <w:sz w:val="15"/>
              </w:rPr>
              <w:t>0.4191</w:t>
            </w:r>
          </w:p>
        </w:tc>
        <w:tc>
          <w:tcPr>
            <w:tcW w:type="dxa" w:w="780"/>
            <w:vAlign w:val="center"/>
          </w:tcPr>
          <w:p>
            <w:r>
              <w:rPr>
                <w:sz w:val="15"/>
              </w:rPr>
              <w:t>0.5838</w:t>
            </w:r>
          </w:p>
        </w:tc>
        <w:tc>
          <w:tcPr>
            <w:tcW w:type="dxa" w:w="780"/>
            <w:vAlign w:val="center"/>
          </w:tcPr>
          <w:p>
            <w:r>
              <w:rPr>
                <w:sz w:val="15"/>
              </w:rPr>
              <w:t>0.8922</w:t>
            </w:r>
          </w:p>
        </w:tc>
        <w:tc>
          <w:tcPr>
            <w:tcW w:type="dxa" w:w="780"/>
            <w:vAlign w:val="center"/>
          </w:tcPr>
          <w:p>
            <w:r>
              <w:rPr>
                <w:sz w:val="15"/>
              </w:rPr>
              <w:t>0.4879</w:t>
            </w:r>
          </w:p>
        </w:tc>
        <w:tc>
          <w:tcPr>
            <w:tcW w:type="dxa" w:w="780"/>
            <w:vAlign w:val="center"/>
          </w:tcPr>
          <w:p>
            <w:r>
              <w:rPr>
                <w:sz w:val="15"/>
              </w:rPr>
              <w:t>0.7380</w:t>
            </w:r>
          </w:p>
        </w:tc>
        <w:tc>
          <w:tcPr>
            <w:tcW w:type="dxa" w:w="780"/>
            <w:vAlign w:val="center"/>
          </w:tcPr>
          <w:p>
            <w:r>
              <w:rPr>
                <w:sz w:val="15"/>
              </w:rPr>
              <w:t>0.8403</w:t>
            </w:r>
          </w:p>
        </w:tc>
        <w:tc>
          <w:tcPr>
            <w:tcW w:type="dxa" w:w="780"/>
            <w:vAlign w:val="center"/>
          </w:tcPr>
          <w:p>
            <w:r>
              <w:rPr>
                <w:sz w:val="15"/>
              </w:rPr>
              <w:t>0.4598</w:t>
            </w:r>
          </w:p>
        </w:tc>
        <w:tc>
          <w:tcPr>
            <w:tcW w:type="dxa" w:w="780"/>
            <w:vAlign w:val="center"/>
          </w:tcPr>
          <w:p>
            <w:r>
              <w:rPr>
                <w:sz w:val="15"/>
              </w:rPr>
              <w:t>0.4509</w:t>
            </w:r>
          </w:p>
        </w:tc>
        <w:tc>
          <w:tcPr>
            <w:tcW w:type="dxa" w:w="780"/>
            <w:vAlign w:val="center"/>
          </w:tcPr>
          <w:p>
            <w:r>
              <w:rPr>
                <w:sz w:val="15"/>
              </w:rPr>
              <w:t>4.5148</w:t>
            </w:r>
          </w:p>
        </w:tc>
      </w:tr>
      <w:tr>
        <w:tc>
          <w:tcPr>
            <w:tcW w:type="dxa" w:w="780"/>
            <w:vAlign w:val="center"/>
          </w:tcPr>
          <w:p>
            <w:r>
              <w:rPr>
                <w:sz w:val="15"/>
              </w:rPr>
              <w:t>80/20</w:t>
            </w:r>
          </w:p>
        </w:tc>
        <w:tc>
          <w:tcPr>
            <w:tcW w:type="dxa" w:w="780"/>
            <w:vAlign w:val="center"/>
          </w:tcPr>
          <w:p>
            <w:r>
              <w:rPr>
                <w:sz w:val="15"/>
              </w:rPr>
              <w:t>XGBoost</w:t>
            </w:r>
          </w:p>
        </w:tc>
        <w:tc>
          <w:tcPr>
            <w:tcW w:type="dxa" w:w="780"/>
            <w:vAlign w:val="center"/>
          </w:tcPr>
          <w:p>
            <w:r>
              <w:rPr>
                <w:sz w:val="15"/>
              </w:rPr>
              <w:t>0.8118</w:t>
            </w:r>
          </w:p>
        </w:tc>
        <w:tc>
          <w:tcPr>
            <w:tcW w:type="dxa" w:w="780"/>
            <w:vAlign w:val="center"/>
          </w:tcPr>
          <w:p>
            <w:r>
              <w:rPr>
                <w:sz w:val="15"/>
              </w:rPr>
              <w:t>0.3539</w:t>
            </w:r>
          </w:p>
        </w:tc>
        <w:tc>
          <w:tcPr>
            <w:tcW w:type="dxa" w:w="780"/>
            <w:vAlign w:val="center"/>
          </w:tcPr>
          <w:p>
            <w:r>
              <w:rPr>
                <w:sz w:val="15"/>
              </w:rPr>
              <w:t>0.7283</w:t>
            </w:r>
          </w:p>
        </w:tc>
        <w:tc>
          <w:tcPr>
            <w:tcW w:type="dxa" w:w="780"/>
            <w:vAlign w:val="center"/>
          </w:tcPr>
          <w:p>
            <w:r>
              <w:rPr>
                <w:sz w:val="15"/>
              </w:rPr>
              <w:t>0.8229</w:t>
            </w:r>
          </w:p>
        </w:tc>
        <w:tc>
          <w:tcPr>
            <w:tcW w:type="dxa" w:w="780"/>
            <w:vAlign w:val="center"/>
          </w:tcPr>
          <w:p>
            <w:r>
              <w:rPr>
                <w:sz w:val="15"/>
              </w:rPr>
              <w:t>0.4764</w:t>
            </w:r>
          </w:p>
        </w:tc>
        <w:tc>
          <w:tcPr>
            <w:tcW w:type="dxa" w:w="780"/>
            <w:vAlign w:val="center"/>
          </w:tcPr>
          <w:p>
            <w:r>
              <w:rPr>
                <w:sz w:val="15"/>
              </w:rPr>
              <w:t>0.7756</w:t>
            </w:r>
          </w:p>
        </w:tc>
        <w:tc>
          <w:tcPr>
            <w:tcW w:type="dxa" w:w="780"/>
            <w:vAlign w:val="center"/>
          </w:tcPr>
          <w:p>
            <w:r>
              <w:rPr>
                <w:sz w:val="15"/>
              </w:rPr>
              <w:t>0.8416</w:t>
            </w:r>
          </w:p>
        </w:tc>
        <w:tc>
          <w:tcPr>
            <w:tcW w:type="dxa" w:w="780"/>
            <w:vAlign w:val="center"/>
          </w:tcPr>
          <w:p>
            <w:r>
              <w:rPr>
                <w:sz w:val="15"/>
              </w:rPr>
              <w:t>0.4668</w:t>
            </w:r>
          </w:p>
        </w:tc>
        <w:tc>
          <w:tcPr>
            <w:tcW w:type="dxa" w:w="780"/>
            <w:vAlign w:val="center"/>
          </w:tcPr>
          <w:p>
            <w:r>
              <w:rPr>
                <w:sz w:val="15"/>
              </w:rPr>
              <w:t>0.4393</w:t>
            </w:r>
          </w:p>
        </w:tc>
        <w:tc>
          <w:tcPr>
            <w:tcW w:type="dxa" w:w="780"/>
            <w:vAlign w:val="center"/>
          </w:tcPr>
          <w:p>
            <w:r>
              <w:rPr>
                <w:sz w:val="15"/>
              </w:rPr>
              <w:t>4.3990</w:t>
            </w:r>
          </w:p>
        </w:tc>
      </w:tr>
      <w:tr>
        <w:tc>
          <w:tcPr>
            <w:tcW w:type="dxa" w:w="780"/>
            <w:vAlign w:val="center"/>
          </w:tcPr>
          <w:p>
            <w:r>
              <w:rPr>
                <w:sz w:val="15"/>
              </w:rPr>
              <w:t>95/5</w:t>
            </w:r>
          </w:p>
        </w:tc>
        <w:tc>
          <w:tcPr>
            <w:tcW w:type="dxa" w:w="780"/>
            <w:vAlign w:val="center"/>
          </w:tcPr>
          <w:p>
            <w:r>
              <w:rPr>
                <w:sz w:val="15"/>
              </w:rPr>
              <w:t>Logistic Regression</w:t>
            </w:r>
          </w:p>
        </w:tc>
        <w:tc>
          <w:tcPr>
            <w:tcW w:type="dxa" w:w="780"/>
            <w:vAlign w:val="center"/>
          </w:tcPr>
          <w:p>
            <w:r>
              <w:rPr>
                <w:sz w:val="15"/>
              </w:rPr>
              <w:t>0.7527</w:t>
            </w:r>
          </w:p>
        </w:tc>
        <w:tc>
          <w:tcPr>
            <w:tcW w:type="dxa" w:w="780"/>
            <w:vAlign w:val="center"/>
          </w:tcPr>
          <w:p>
            <w:r>
              <w:rPr>
                <w:sz w:val="15"/>
              </w:rPr>
              <w:t>0.2818</w:t>
            </w:r>
          </w:p>
        </w:tc>
        <w:tc>
          <w:tcPr>
            <w:tcW w:type="dxa" w:w="780"/>
            <w:vAlign w:val="center"/>
          </w:tcPr>
          <w:p>
            <w:r>
              <w:rPr>
                <w:sz w:val="15"/>
              </w:rPr>
              <w:t>0.7209</w:t>
            </w:r>
          </w:p>
        </w:tc>
        <w:tc>
          <w:tcPr>
            <w:tcW w:type="dxa" w:w="780"/>
            <w:vAlign w:val="center"/>
          </w:tcPr>
          <w:p>
            <w:r>
              <w:rPr>
                <w:sz w:val="15"/>
              </w:rPr>
              <w:t>0.7569</w:t>
            </w:r>
          </w:p>
        </w:tc>
        <w:tc>
          <w:tcPr>
            <w:tcW w:type="dxa" w:w="780"/>
            <w:vAlign w:val="center"/>
          </w:tcPr>
          <w:p>
            <w:r>
              <w:rPr>
                <w:sz w:val="15"/>
              </w:rPr>
              <w:t>0.4052</w:t>
            </w:r>
          </w:p>
        </w:tc>
        <w:tc>
          <w:tcPr>
            <w:tcW w:type="dxa" w:w="780"/>
            <w:vAlign w:val="center"/>
          </w:tcPr>
          <w:p>
            <w:r>
              <w:rPr>
                <w:sz w:val="15"/>
              </w:rPr>
              <w:t>0.7389</w:t>
            </w:r>
          </w:p>
        </w:tc>
        <w:tc>
          <w:tcPr>
            <w:tcW w:type="dxa" w:w="780"/>
            <w:vAlign w:val="center"/>
          </w:tcPr>
          <w:p>
            <w:r>
              <w:rPr>
                <w:sz w:val="15"/>
              </w:rPr>
              <w:t>0.7894</w:t>
            </w:r>
          </w:p>
        </w:tc>
        <w:tc>
          <w:tcPr>
            <w:tcW w:type="dxa" w:w="780"/>
            <w:vAlign w:val="center"/>
          </w:tcPr>
          <w:p>
            <w:r>
              <w:rPr>
                <w:sz w:val="15"/>
              </w:rPr>
              <w:t>0.3823</w:t>
            </w:r>
          </w:p>
        </w:tc>
        <w:tc>
          <w:tcPr>
            <w:tcW w:type="dxa" w:w="780"/>
            <w:vAlign w:val="center"/>
          </w:tcPr>
          <w:p>
            <w:r>
              <w:rPr>
                <w:sz w:val="15"/>
              </w:rPr>
              <w:t>0.3023</w:t>
            </w:r>
          </w:p>
        </w:tc>
        <w:tc>
          <w:tcPr>
            <w:tcW w:type="dxa" w:w="780"/>
            <w:vAlign w:val="center"/>
          </w:tcPr>
          <w:p>
            <w:r>
              <w:rPr>
                <w:sz w:val="15"/>
              </w:rPr>
              <w:t>3.0904</w:t>
            </w:r>
          </w:p>
        </w:tc>
      </w:tr>
      <w:tr>
        <w:tc>
          <w:tcPr>
            <w:tcW w:type="dxa" w:w="780"/>
            <w:vAlign w:val="center"/>
          </w:tcPr>
          <w:p>
            <w:r>
              <w:rPr>
                <w:sz w:val="15"/>
              </w:rPr>
              <w:t>95/5</w:t>
            </w:r>
          </w:p>
        </w:tc>
        <w:tc>
          <w:tcPr>
            <w:tcW w:type="dxa" w:w="780"/>
            <w:vAlign w:val="center"/>
          </w:tcPr>
          <w:p>
            <w:r>
              <w:rPr>
                <w:sz w:val="15"/>
              </w:rPr>
              <w:t>Decision Tree</w:t>
            </w:r>
          </w:p>
        </w:tc>
        <w:tc>
          <w:tcPr>
            <w:tcW w:type="dxa" w:w="780"/>
            <w:vAlign w:val="center"/>
          </w:tcPr>
          <w:p>
            <w:r>
              <w:rPr>
                <w:sz w:val="15"/>
              </w:rPr>
              <w:t>0.7962</w:t>
            </w:r>
          </w:p>
        </w:tc>
        <w:tc>
          <w:tcPr>
            <w:tcW w:type="dxa" w:w="780"/>
            <w:vAlign w:val="center"/>
          </w:tcPr>
          <w:p>
            <w:r>
              <w:rPr>
                <w:sz w:val="15"/>
              </w:rPr>
              <w:t>0.3000</w:t>
            </w:r>
          </w:p>
        </w:tc>
        <w:tc>
          <w:tcPr>
            <w:tcW w:type="dxa" w:w="780"/>
            <w:vAlign w:val="center"/>
          </w:tcPr>
          <w:p>
            <w:r>
              <w:rPr>
                <w:sz w:val="15"/>
              </w:rPr>
              <w:t>0.5581</w:t>
            </w:r>
          </w:p>
        </w:tc>
        <w:tc>
          <w:tcPr>
            <w:tcW w:type="dxa" w:w="780"/>
            <w:vAlign w:val="center"/>
          </w:tcPr>
          <w:p>
            <w:r>
              <w:rPr>
                <w:sz w:val="15"/>
              </w:rPr>
              <w:t>0.8277</w:t>
            </w:r>
          </w:p>
        </w:tc>
        <w:tc>
          <w:tcPr>
            <w:tcW w:type="dxa" w:w="780"/>
            <w:vAlign w:val="center"/>
          </w:tcPr>
          <w:p>
            <w:r>
              <w:rPr>
                <w:sz w:val="15"/>
              </w:rPr>
              <w:t>0.3902</w:t>
            </w:r>
          </w:p>
        </w:tc>
        <w:tc>
          <w:tcPr>
            <w:tcW w:type="dxa" w:w="780"/>
            <w:vAlign w:val="center"/>
          </w:tcPr>
          <w:p>
            <w:r>
              <w:rPr>
                <w:sz w:val="15"/>
              </w:rPr>
              <w:t>0.6929</w:t>
            </w:r>
          </w:p>
        </w:tc>
        <w:tc>
          <w:tcPr>
            <w:tcW w:type="dxa" w:w="780"/>
            <w:vAlign w:val="center"/>
          </w:tcPr>
          <w:p>
            <w:r>
              <w:rPr>
                <w:sz w:val="15"/>
              </w:rPr>
              <w:t>0.7551</w:t>
            </w:r>
          </w:p>
        </w:tc>
        <w:tc>
          <w:tcPr>
            <w:tcW w:type="dxa" w:w="780"/>
            <w:vAlign w:val="center"/>
          </w:tcPr>
          <w:p>
            <w:r>
              <w:rPr>
                <w:sz w:val="15"/>
              </w:rPr>
              <w:t>0.2853</w:t>
            </w:r>
          </w:p>
        </w:tc>
        <w:tc>
          <w:tcPr>
            <w:tcW w:type="dxa" w:w="780"/>
            <w:vAlign w:val="center"/>
          </w:tcPr>
          <w:p>
            <w:r>
              <w:rPr>
                <w:sz w:val="15"/>
              </w:rPr>
              <w:t>0.2791</w:t>
            </w:r>
          </w:p>
        </w:tc>
        <w:tc>
          <w:tcPr>
            <w:tcW w:type="dxa" w:w="780"/>
            <w:vAlign w:val="center"/>
          </w:tcPr>
          <w:p>
            <w:r>
              <w:rPr>
                <w:sz w:val="15"/>
              </w:rPr>
              <w:t>2.8527</w:t>
            </w:r>
          </w:p>
        </w:tc>
      </w:tr>
      <w:tr>
        <w:tc>
          <w:tcPr>
            <w:tcW w:type="dxa" w:w="780"/>
            <w:vAlign w:val="center"/>
          </w:tcPr>
          <w:p>
            <w:r>
              <w:rPr>
                <w:sz w:val="15"/>
              </w:rPr>
              <w:t>95/5</w:t>
            </w:r>
          </w:p>
        </w:tc>
        <w:tc>
          <w:tcPr>
            <w:tcW w:type="dxa" w:w="780"/>
            <w:vAlign w:val="center"/>
          </w:tcPr>
          <w:p>
            <w:r>
              <w:rPr>
                <w:sz w:val="15"/>
              </w:rPr>
              <w:t>Random Forest</w:t>
            </w:r>
          </w:p>
        </w:tc>
        <w:tc>
          <w:tcPr>
            <w:tcW w:type="dxa" w:w="780"/>
            <w:vAlign w:val="center"/>
          </w:tcPr>
          <w:p>
            <w:r>
              <w:rPr>
                <w:sz w:val="15"/>
              </w:rPr>
              <w:t>0.8315</w:t>
            </w:r>
          </w:p>
        </w:tc>
        <w:tc>
          <w:tcPr>
            <w:tcW w:type="dxa" w:w="780"/>
            <w:vAlign w:val="center"/>
          </w:tcPr>
          <w:p>
            <w:r>
              <w:rPr>
                <w:sz w:val="15"/>
              </w:rPr>
              <w:t>0.3273</w:t>
            </w:r>
          </w:p>
        </w:tc>
        <w:tc>
          <w:tcPr>
            <w:tcW w:type="dxa" w:w="780"/>
            <w:vAlign w:val="center"/>
          </w:tcPr>
          <w:p>
            <w:r>
              <w:rPr>
                <w:sz w:val="15"/>
              </w:rPr>
              <w:t>0.4186</w:t>
            </w:r>
          </w:p>
        </w:tc>
        <w:tc>
          <w:tcPr>
            <w:tcW w:type="dxa" w:w="780"/>
            <w:vAlign w:val="center"/>
          </w:tcPr>
          <w:p>
            <w:r>
              <w:rPr>
                <w:sz w:val="15"/>
              </w:rPr>
              <w:t>0.8862</w:t>
            </w:r>
          </w:p>
        </w:tc>
        <w:tc>
          <w:tcPr>
            <w:tcW w:type="dxa" w:w="780"/>
            <w:vAlign w:val="center"/>
          </w:tcPr>
          <w:p>
            <w:r>
              <w:rPr>
                <w:sz w:val="15"/>
              </w:rPr>
              <w:t>0.3673</w:t>
            </w:r>
          </w:p>
        </w:tc>
        <w:tc>
          <w:tcPr>
            <w:tcW w:type="dxa" w:w="780"/>
            <w:vAlign w:val="center"/>
          </w:tcPr>
          <w:p>
            <w:r>
              <w:rPr>
                <w:sz w:val="15"/>
              </w:rPr>
              <w:t>0.6524</w:t>
            </w:r>
          </w:p>
        </w:tc>
        <w:tc>
          <w:tcPr>
            <w:tcW w:type="dxa" w:w="780"/>
            <w:vAlign w:val="center"/>
          </w:tcPr>
          <w:p>
            <w:r>
              <w:rPr>
                <w:sz w:val="15"/>
              </w:rPr>
              <w:t>0.8030</w:t>
            </w:r>
          </w:p>
        </w:tc>
        <w:tc>
          <w:tcPr>
            <w:tcW w:type="dxa" w:w="780"/>
            <w:vAlign w:val="center"/>
          </w:tcPr>
          <w:p>
            <w:r>
              <w:rPr>
                <w:sz w:val="15"/>
              </w:rPr>
              <w:t>0.4271</w:t>
            </w:r>
          </w:p>
        </w:tc>
        <w:tc>
          <w:tcPr>
            <w:tcW w:type="dxa" w:w="780"/>
            <w:vAlign w:val="center"/>
          </w:tcPr>
          <w:p>
            <w:r>
              <w:rPr>
                <w:sz w:val="15"/>
              </w:rPr>
              <w:t>0.3023</w:t>
            </w:r>
          </w:p>
        </w:tc>
        <w:tc>
          <w:tcPr>
            <w:tcW w:type="dxa" w:w="780"/>
            <w:vAlign w:val="center"/>
          </w:tcPr>
          <w:p>
            <w:r>
              <w:rPr>
                <w:sz w:val="15"/>
              </w:rPr>
              <w:t>3.0904</w:t>
            </w:r>
          </w:p>
        </w:tc>
      </w:tr>
      <w:tr>
        <w:tc>
          <w:tcPr>
            <w:tcW w:type="dxa" w:w="780"/>
            <w:vAlign w:val="center"/>
          </w:tcPr>
          <w:p>
            <w:r>
              <w:rPr>
                <w:sz w:val="15"/>
              </w:rPr>
              <w:t>95/5</w:t>
            </w:r>
          </w:p>
        </w:tc>
        <w:tc>
          <w:tcPr>
            <w:tcW w:type="dxa" w:w="780"/>
            <w:vAlign w:val="center"/>
          </w:tcPr>
          <w:p>
            <w:r>
              <w:rPr>
                <w:sz w:val="15"/>
              </w:rPr>
              <w:t>XGBoost</w:t>
            </w:r>
          </w:p>
        </w:tc>
        <w:tc>
          <w:tcPr>
            <w:tcW w:type="dxa" w:w="780"/>
            <w:vAlign w:val="center"/>
          </w:tcPr>
          <w:p>
            <w:r>
              <w:rPr>
                <w:sz w:val="15"/>
              </w:rPr>
              <w:t>0.7989</w:t>
            </w:r>
          </w:p>
        </w:tc>
        <w:tc>
          <w:tcPr>
            <w:tcW w:type="dxa" w:w="780"/>
            <w:vAlign w:val="center"/>
          </w:tcPr>
          <w:p>
            <w:r>
              <w:rPr>
                <w:sz w:val="15"/>
              </w:rPr>
              <w:t>0.3176</w:t>
            </w:r>
          </w:p>
        </w:tc>
        <w:tc>
          <w:tcPr>
            <w:tcW w:type="dxa" w:w="780"/>
            <w:vAlign w:val="center"/>
          </w:tcPr>
          <w:p>
            <w:r>
              <w:rPr>
                <w:sz w:val="15"/>
              </w:rPr>
              <w:t>0.6279</w:t>
            </w:r>
          </w:p>
        </w:tc>
        <w:tc>
          <w:tcPr>
            <w:tcW w:type="dxa" w:w="780"/>
            <w:vAlign w:val="center"/>
          </w:tcPr>
          <w:p>
            <w:r>
              <w:rPr>
                <w:sz w:val="15"/>
              </w:rPr>
              <w:t>0.8215</w:t>
            </w:r>
          </w:p>
        </w:tc>
        <w:tc>
          <w:tcPr>
            <w:tcW w:type="dxa" w:w="780"/>
            <w:vAlign w:val="center"/>
          </w:tcPr>
          <w:p>
            <w:r>
              <w:rPr>
                <w:sz w:val="15"/>
              </w:rPr>
              <w:t>0.4219</w:t>
            </w:r>
          </w:p>
        </w:tc>
        <w:tc>
          <w:tcPr>
            <w:tcW w:type="dxa" w:w="780"/>
            <w:vAlign w:val="center"/>
          </w:tcPr>
          <w:p>
            <w:r>
              <w:rPr>
                <w:sz w:val="15"/>
              </w:rPr>
              <w:t>0.7247</w:t>
            </w:r>
          </w:p>
        </w:tc>
        <w:tc>
          <w:tcPr>
            <w:tcW w:type="dxa" w:w="780"/>
            <w:vAlign w:val="center"/>
          </w:tcPr>
          <w:p>
            <w:r>
              <w:rPr>
                <w:sz w:val="15"/>
              </w:rPr>
              <w:t>0.8093</w:t>
            </w:r>
          </w:p>
        </w:tc>
        <w:tc>
          <w:tcPr>
            <w:tcW w:type="dxa" w:w="780"/>
            <w:vAlign w:val="center"/>
          </w:tcPr>
          <w:p>
            <w:r>
              <w:rPr>
                <w:sz w:val="15"/>
              </w:rPr>
              <w:t>0.4170</w:t>
            </w:r>
          </w:p>
        </w:tc>
        <w:tc>
          <w:tcPr>
            <w:tcW w:type="dxa" w:w="780"/>
            <w:vAlign w:val="center"/>
          </w:tcPr>
          <w:p>
            <w:r>
              <w:rPr>
                <w:sz w:val="15"/>
              </w:rPr>
              <w:t>0.3256</w:t>
            </w:r>
          </w:p>
        </w:tc>
        <w:tc>
          <w:tcPr>
            <w:tcW w:type="dxa" w:w="780"/>
            <w:vAlign w:val="center"/>
          </w:tcPr>
          <w:p>
            <w:r>
              <w:rPr>
                <w:sz w:val="15"/>
              </w:rPr>
              <w:t>3.3282</w:t>
            </w:r>
          </w:p>
        </w:tc>
      </w:tr>
    </w:tbl>
    <w:p/>
    <w:p>
      <w:pPr>
        <w:jc w:val="center"/>
      </w:pPr>
      <w:r>
        <w:drawing>
          <wp:inline xmlns:a="http://schemas.openxmlformats.org/drawingml/2006/main" xmlns:pic="http://schemas.openxmlformats.org/drawingml/2006/picture">
            <wp:extent cx="5943600" cy="3302000"/>
            <wp:docPr id="5" name="Picture 5"/>
            <wp:cNvGraphicFramePr>
              <a:graphicFrameLocks noChangeAspect="1"/>
            </wp:cNvGraphicFramePr>
            <a:graphic>
              <a:graphicData uri="http://schemas.openxmlformats.org/drawingml/2006/picture">
                <pic:pic>
                  <pic:nvPicPr>
                    <pic:cNvPr id="0" name="figure_5_model_comparison.png"/>
                    <pic:cNvPicPr/>
                  </pic:nvPicPr>
                  <pic:blipFill>
                    <a:blip r:embed="rId13"/>
                    <a:stretch>
                      <a:fillRect/>
                    </a:stretch>
                  </pic:blipFill>
                  <pic:spPr>
                    <a:xfrm>
                      <a:off x="0" y="0"/>
                      <a:ext cx="5943600" cy="3302000"/>
                    </a:xfrm>
                    <a:prstGeom prst="rect"/>
                  </pic:spPr>
                </pic:pic>
              </a:graphicData>
            </a:graphic>
          </wp:inline>
        </w:drawing>
      </w:r>
    </w:p>
    <w:p>
      <w:pPr>
        <w:jc w:val="center"/>
      </w:pPr>
      <w:r>
        <w:rPr>
          <w:i/>
          <w:sz w:val="18"/>
        </w:rPr>
        <w:t>Figure 5. Precision-recall performance across train-test partitions.</w:t>
      </w:r>
    </w:p>
    <w:p>
      <w:pPr>
        <w:pStyle w:val="Heading1"/>
      </w:pPr>
      <w:r>
        <w:t>Model Evaluation</w:t>
      </w:r>
    </w:p>
    <w:p>
      <w:r>
        <w:t>Random Forest produced the highest average PR-AUC across the three development partitions and was selected for final validation. On the sealed validation set of 818 individuals, the model achieved accuracy 0.874, precision 0.472, recall 0.604, specificity 0.910, F1-score 0.530, ROC-AUC 0.817, and PR-AUC 0.443. The highest predicted-risk decile captured 42.7% of actual high-cost patients, producing lift of 4.31 relative to untargeted selection.</w:t>
      </w:r>
    </w:p>
    <w:p>
      <w:r>
        <w:rPr>
          <w:b/>
        </w:rPr>
        <w:t>Table 8. Sealed Final Validation Results</w:t>
      </w:r>
    </w:p>
    <w:tbl>
      <w:tblPr>
        <w:tblStyle w:val="TableGrid"/>
        <w:tblW w:type="auto" w:w="0"/>
        <w:jc w:val="center"/>
        <w:tblLook w:firstColumn="1" w:firstRow="1" w:lastColumn="0" w:lastRow="0" w:noHBand="0" w:noVBand="1" w:val="04A0"/>
      </w:tblPr>
      <w:tblGrid>
        <w:gridCol w:w="720"/>
        <w:gridCol w:w="720"/>
        <w:gridCol w:w="720"/>
        <w:gridCol w:w="720"/>
        <w:gridCol w:w="720"/>
        <w:gridCol w:w="720"/>
        <w:gridCol w:w="720"/>
        <w:gridCol w:w="720"/>
        <w:gridCol w:w="720"/>
        <w:gridCol w:w="720"/>
        <w:gridCol w:w="720"/>
        <w:gridCol w:w="720"/>
        <w:gridCol w:w="720"/>
      </w:tblGrid>
      <w:tr>
        <w:trPr>
          <w:tblHeader w:val="true"/>
        </w:trPr>
        <w:tc>
          <w:tcPr>
            <w:tcW w:type="dxa" w:w="720"/>
            <w:shd w:fill="1F4E78"/>
          </w:tcPr>
          <w:p>
            <w:r>
              <w:rPr>
                <w:b/>
                <w:color w:val="FFFFFF"/>
                <w:sz w:val="16"/>
              </w:rPr>
              <w:t>Selected_Model</w:t>
            </w:r>
          </w:p>
        </w:tc>
        <w:tc>
          <w:tcPr>
            <w:tcW w:type="dxa" w:w="720"/>
            <w:shd w:fill="1F4E78"/>
          </w:tcPr>
          <w:p>
            <w:r>
              <w:rPr>
                <w:b/>
                <w:color w:val="FFFFFF"/>
                <w:sz w:val="16"/>
              </w:rPr>
              <w:t>Validation_N</w:t>
            </w:r>
          </w:p>
        </w:tc>
        <w:tc>
          <w:tcPr>
            <w:tcW w:type="dxa" w:w="720"/>
            <w:shd w:fill="1F4E78"/>
          </w:tcPr>
          <w:p>
            <w:r>
              <w:rPr>
                <w:b/>
                <w:color w:val="FFFFFF"/>
                <w:sz w:val="16"/>
              </w:rPr>
              <w:t>Accuracy</w:t>
            </w:r>
          </w:p>
        </w:tc>
        <w:tc>
          <w:tcPr>
            <w:tcW w:type="dxa" w:w="720"/>
            <w:shd w:fill="1F4E78"/>
          </w:tcPr>
          <w:p>
            <w:r>
              <w:rPr>
                <w:b/>
                <w:color w:val="FFFFFF"/>
                <w:sz w:val="16"/>
              </w:rPr>
              <w:t>Precision</w:t>
            </w:r>
          </w:p>
        </w:tc>
        <w:tc>
          <w:tcPr>
            <w:tcW w:type="dxa" w:w="720"/>
            <w:shd w:fill="1F4E78"/>
          </w:tcPr>
          <w:p>
            <w:r>
              <w:rPr>
                <w:b/>
                <w:color w:val="FFFFFF"/>
                <w:sz w:val="16"/>
              </w:rPr>
              <w:t>Recall</w:t>
            </w:r>
          </w:p>
        </w:tc>
        <w:tc>
          <w:tcPr>
            <w:tcW w:type="dxa" w:w="720"/>
            <w:shd w:fill="1F4E78"/>
          </w:tcPr>
          <w:p>
            <w:r>
              <w:rPr>
                <w:b/>
                <w:color w:val="FFFFFF"/>
                <w:sz w:val="16"/>
              </w:rPr>
              <w:t>Specificity</w:t>
            </w:r>
          </w:p>
        </w:tc>
        <w:tc>
          <w:tcPr>
            <w:tcW w:type="dxa" w:w="720"/>
            <w:shd w:fill="1F4E78"/>
          </w:tcPr>
          <w:p>
            <w:r>
              <w:rPr>
                <w:b/>
                <w:color w:val="FFFFFF"/>
                <w:sz w:val="16"/>
              </w:rPr>
              <w:t>F1</w:t>
            </w:r>
          </w:p>
        </w:tc>
        <w:tc>
          <w:tcPr>
            <w:tcW w:type="dxa" w:w="720"/>
            <w:shd w:fill="1F4E78"/>
          </w:tcPr>
          <w:p>
            <w:r>
              <w:rPr>
                <w:b/>
                <w:color w:val="FFFFFF"/>
                <w:sz w:val="16"/>
              </w:rPr>
              <w:t>Balanced_Accuracy</w:t>
            </w:r>
          </w:p>
        </w:tc>
        <w:tc>
          <w:tcPr>
            <w:tcW w:type="dxa" w:w="720"/>
            <w:shd w:fill="1F4E78"/>
          </w:tcPr>
          <w:p>
            <w:r>
              <w:rPr>
                <w:b/>
                <w:color w:val="FFFFFF"/>
                <w:sz w:val="16"/>
              </w:rPr>
              <w:t>ROC_AUC</w:t>
            </w:r>
          </w:p>
        </w:tc>
        <w:tc>
          <w:tcPr>
            <w:tcW w:type="dxa" w:w="720"/>
            <w:shd w:fill="1F4E78"/>
          </w:tcPr>
          <w:p>
            <w:r>
              <w:rPr>
                <w:b/>
                <w:color w:val="FFFFFF"/>
                <w:sz w:val="16"/>
              </w:rPr>
              <w:t>PR_AUC</w:t>
            </w:r>
          </w:p>
        </w:tc>
        <w:tc>
          <w:tcPr>
            <w:tcW w:type="dxa" w:w="720"/>
            <w:shd w:fill="1F4E78"/>
          </w:tcPr>
          <w:p>
            <w:r>
              <w:rPr>
                <w:b/>
                <w:color w:val="FFFFFF"/>
                <w:sz w:val="16"/>
              </w:rPr>
              <w:t>Brier</w:t>
            </w:r>
          </w:p>
        </w:tc>
        <w:tc>
          <w:tcPr>
            <w:tcW w:type="dxa" w:w="720"/>
            <w:shd w:fill="1F4E78"/>
          </w:tcPr>
          <w:p>
            <w:r>
              <w:rPr>
                <w:b/>
                <w:color w:val="FFFFFF"/>
                <w:sz w:val="16"/>
              </w:rPr>
              <w:t>Top_Decile_Capture</w:t>
            </w:r>
          </w:p>
        </w:tc>
        <w:tc>
          <w:tcPr>
            <w:tcW w:type="dxa" w:w="720"/>
            <w:shd w:fill="1F4E78"/>
          </w:tcPr>
          <w:p>
            <w:r>
              <w:rPr>
                <w:b/>
                <w:color w:val="FFFFFF"/>
                <w:sz w:val="16"/>
              </w:rPr>
              <w:t>Top_Decile_Lift</w:t>
            </w:r>
          </w:p>
        </w:tc>
      </w:tr>
      <w:tr>
        <w:tc>
          <w:tcPr>
            <w:tcW w:type="dxa" w:w="720"/>
            <w:vAlign w:val="center"/>
          </w:tcPr>
          <w:p>
            <w:r>
              <w:rPr>
                <w:sz w:val="15"/>
              </w:rPr>
              <w:t>Random Forest</w:t>
            </w:r>
          </w:p>
        </w:tc>
        <w:tc>
          <w:tcPr>
            <w:tcW w:type="dxa" w:w="720"/>
            <w:vAlign w:val="center"/>
          </w:tcPr>
          <w:p>
            <w:r>
              <w:rPr>
                <w:sz w:val="15"/>
              </w:rPr>
              <w:t>818</w:t>
            </w:r>
          </w:p>
        </w:tc>
        <w:tc>
          <w:tcPr>
            <w:tcW w:type="dxa" w:w="720"/>
            <w:vAlign w:val="center"/>
          </w:tcPr>
          <w:p>
            <w:r>
              <w:rPr>
                <w:sz w:val="15"/>
              </w:rPr>
              <w:t>0.8741</w:t>
            </w:r>
          </w:p>
        </w:tc>
        <w:tc>
          <w:tcPr>
            <w:tcW w:type="dxa" w:w="720"/>
            <w:vAlign w:val="center"/>
          </w:tcPr>
          <w:p>
            <w:r>
              <w:rPr>
                <w:sz w:val="15"/>
              </w:rPr>
              <w:t>0.4715</w:t>
            </w:r>
          </w:p>
        </w:tc>
        <w:tc>
          <w:tcPr>
            <w:tcW w:type="dxa" w:w="720"/>
            <w:vAlign w:val="center"/>
          </w:tcPr>
          <w:p>
            <w:r>
              <w:rPr>
                <w:sz w:val="15"/>
              </w:rPr>
              <w:t>0.6042</w:t>
            </w:r>
          </w:p>
        </w:tc>
        <w:tc>
          <w:tcPr>
            <w:tcW w:type="dxa" w:w="720"/>
            <w:vAlign w:val="center"/>
          </w:tcPr>
          <w:p>
            <w:r>
              <w:rPr>
                <w:sz w:val="15"/>
              </w:rPr>
              <w:t>0.9100</w:t>
            </w:r>
          </w:p>
        </w:tc>
        <w:tc>
          <w:tcPr>
            <w:tcW w:type="dxa" w:w="720"/>
            <w:vAlign w:val="center"/>
          </w:tcPr>
          <w:p>
            <w:r>
              <w:rPr>
                <w:sz w:val="15"/>
              </w:rPr>
              <w:t>0.5297</w:t>
            </w:r>
          </w:p>
        </w:tc>
        <w:tc>
          <w:tcPr>
            <w:tcW w:type="dxa" w:w="720"/>
            <w:vAlign w:val="center"/>
          </w:tcPr>
          <w:p>
            <w:r>
              <w:rPr>
                <w:sz w:val="15"/>
              </w:rPr>
              <w:t>0.7571</w:t>
            </w:r>
          </w:p>
        </w:tc>
        <w:tc>
          <w:tcPr>
            <w:tcW w:type="dxa" w:w="720"/>
            <w:vAlign w:val="center"/>
          </w:tcPr>
          <w:p>
            <w:r>
              <w:rPr>
                <w:sz w:val="15"/>
              </w:rPr>
              <w:t>0.8171</w:t>
            </w:r>
          </w:p>
        </w:tc>
        <w:tc>
          <w:tcPr>
            <w:tcW w:type="dxa" w:w="720"/>
            <w:vAlign w:val="center"/>
          </w:tcPr>
          <w:p>
            <w:r>
              <w:rPr>
                <w:sz w:val="15"/>
              </w:rPr>
              <w:t>0.4429</w:t>
            </w:r>
          </w:p>
        </w:tc>
        <w:tc>
          <w:tcPr>
            <w:tcW w:type="dxa" w:w="720"/>
            <w:vAlign w:val="center"/>
          </w:tcPr>
          <w:p>
            <w:r>
              <w:rPr>
                <w:sz w:val="15"/>
              </w:rPr>
              <w:t>0.1037</w:t>
            </w:r>
          </w:p>
        </w:tc>
        <w:tc>
          <w:tcPr>
            <w:tcW w:type="dxa" w:w="720"/>
            <w:vAlign w:val="center"/>
          </w:tcPr>
          <w:p>
            <w:r>
              <w:rPr>
                <w:sz w:val="15"/>
              </w:rPr>
              <w:t>0.4271</w:t>
            </w:r>
          </w:p>
        </w:tc>
        <w:tc>
          <w:tcPr>
            <w:tcW w:type="dxa" w:w="720"/>
            <w:vAlign w:val="center"/>
          </w:tcPr>
          <w:p>
            <w:r>
              <w:rPr>
                <w:sz w:val="15"/>
              </w:rPr>
              <w:t>4.3130</w:t>
            </w:r>
          </w:p>
        </w:tc>
      </w:tr>
    </w:tbl>
    <w:p/>
    <w:p>
      <w:pPr>
        <w:jc w:val="center"/>
      </w:pPr>
      <w:r>
        <w:drawing>
          <wp:inline xmlns:a="http://schemas.openxmlformats.org/drawingml/2006/main" xmlns:pic="http://schemas.openxmlformats.org/drawingml/2006/picture">
            <wp:extent cx="5943600" cy="5094514"/>
            <wp:docPr id="6" name="Picture 6"/>
            <wp:cNvGraphicFramePr>
              <a:graphicFrameLocks noChangeAspect="1"/>
            </wp:cNvGraphicFramePr>
            <a:graphic>
              <a:graphicData uri="http://schemas.openxmlformats.org/drawingml/2006/picture">
                <pic:pic>
                  <pic:nvPicPr>
                    <pic:cNvPr id="0" name="figure_6_roc_curves.png"/>
                    <pic:cNvPicPr/>
                  </pic:nvPicPr>
                  <pic:blipFill>
                    <a:blip r:embed="rId14"/>
                    <a:stretch>
                      <a:fillRect/>
                    </a:stretch>
                  </pic:blipFill>
                  <pic:spPr>
                    <a:xfrm>
                      <a:off x="0" y="0"/>
                      <a:ext cx="5943600" cy="5094514"/>
                    </a:xfrm>
                    <a:prstGeom prst="rect"/>
                  </pic:spPr>
                </pic:pic>
              </a:graphicData>
            </a:graphic>
          </wp:inline>
        </w:drawing>
      </w:r>
    </w:p>
    <w:p>
      <w:pPr>
        <w:jc w:val="center"/>
      </w:pPr>
      <w:r>
        <w:rPr>
          <w:i/>
          <w:sz w:val="18"/>
        </w:rPr>
        <w:t>Figure 6. ROC curves on the sealed validation set.</w:t>
      </w:r>
    </w:p>
    <w:p>
      <w:pPr>
        <w:jc w:val="center"/>
      </w:pPr>
      <w:r>
        <w:drawing>
          <wp:inline xmlns:a="http://schemas.openxmlformats.org/drawingml/2006/main" xmlns:pic="http://schemas.openxmlformats.org/drawingml/2006/picture">
            <wp:extent cx="5943600" cy="5094514"/>
            <wp:docPr id="7" name="Picture 7"/>
            <wp:cNvGraphicFramePr>
              <a:graphicFrameLocks noChangeAspect="1"/>
            </wp:cNvGraphicFramePr>
            <a:graphic>
              <a:graphicData uri="http://schemas.openxmlformats.org/drawingml/2006/picture">
                <pic:pic>
                  <pic:nvPicPr>
                    <pic:cNvPr id="0" name="figure_7_pr_curves.png"/>
                    <pic:cNvPicPr/>
                  </pic:nvPicPr>
                  <pic:blipFill>
                    <a:blip r:embed="rId15"/>
                    <a:stretch>
                      <a:fillRect/>
                    </a:stretch>
                  </pic:blipFill>
                  <pic:spPr>
                    <a:xfrm>
                      <a:off x="0" y="0"/>
                      <a:ext cx="5943600" cy="5094514"/>
                    </a:xfrm>
                    <a:prstGeom prst="rect"/>
                  </pic:spPr>
                </pic:pic>
              </a:graphicData>
            </a:graphic>
          </wp:inline>
        </w:drawing>
      </w:r>
    </w:p>
    <w:p>
      <w:pPr>
        <w:jc w:val="center"/>
      </w:pPr>
      <w:r>
        <w:rPr>
          <w:i/>
          <w:sz w:val="18"/>
        </w:rPr>
        <w:t>Figure 7. Precision-recall curves on the sealed validation set.</w:t>
      </w:r>
    </w:p>
    <w:p>
      <w:pPr>
        <w:pStyle w:val="Heading2"/>
      </w:pPr>
      <w:r>
        <w:t>Model Behavior and Interpretation</w:t>
      </w:r>
    </w:p>
    <w:p>
      <w:r>
        <w:rPr>
          <w:b/>
        </w:rPr>
        <w:t>Table 9. Permutation Feature Importance</w:t>
      </w:r>
    </w:p>
    <w:tbl>
      <w:tblPr>
        <w:tblStyle w:val="TableGrid"/>
        <w:tblW w:type="auto" w:w="0"/>
        <w:jc w:val="center"/>
        <w:tblLook w:firstColumn="1" w:firstRow="1" w:lastColumn="0" w:lastRow="0" w:noHBand="0" w:noVBand="1" w:val="04A0"/>
      </w:tblPr>
      <w:tblGrid>
        <w:gridCol w:w="3120"/>
        <w:gridCol w:w="3120"/>
        <w:gridCol w:w="3120"/>
      </w:tblGrid>
      <w:tr>
        <w:trPr>
          <w:tblHeader w:val="true"/>
        </w:trPr>
        <w:tc>
          <w:tcPr>
            <w:tcW w:type="dxa" w:w="3120"/>
            <w:shd w:fill="1F4E78"/>
          </w:tcPr>
          <w:p>
            <w:r>
              <w:rPr>
                <w:b/>
                <w:color w:val="FFFFFF"/>
                <w:sz w:val="16"/>
              </w:rPr>
              <w:t>Feature</w:t>
            </w:r>
          </w:p>
        </w:tc>
        <w:tc>
          <w:tcPr>
            <w:tcW w:type="dxa" w:w="3120"/>
            <w:shd w:fill="1F4E78"/>
          </w:tcPr>
          <w:p>
            <w:r>
              <w:rPr>
                <w:b/>
                <w:color w:val="FFFFFF"/>
                <w:sz w:val="16"/>
              </w:rPr>
              <w:t>Importance_Mean</w:t>
            </w:r>
          </w:p>
        </w:tc>
        <w:tc>
          <w:tcPr>
            <w:tcW w:type="dxa" w:w="3120"/>
            <w:shd w:fill="1F4E78"/>
          </w:tcPr>
          <w:p>
            <w:r>
              <w:rPr>
                <w:b/>
                <w:color w:val="FFFFFF"/>
                <w:sz w:val="16"/>
              </w:rPr>
              <w:t>Importance_SD</w:t>
            </w:r>
          </w:p>
        </w:tc>
      </w:tr>
      <w:tr>
        <w:tc>
          <w:tcPr>
            <w:tcW w:type="dxa" w:w="3120"/>
            <w:vAlign w:val="center"/>
          </w:tcPr>
          <w:p>
            <w:r>
              <w:rPr>
                <w:sz w:val="15"/>
              </w:rPr>
              <w:t>log_prior_expenditure</w:t>
            </w:r>
          </w:p>
        </w:tc>
        <w:tc>
          <w:tcPr>
            <w:tcW w:type="dxa" w:w="3120"/>
            <w:vAlign w:val="center"/>
          </w:tcPr>
          <w:p>
            <w:r>
              <w:rPr>
                <w:sz w:val="15"/>
              </w:rPr>
              <w:t>0.1396</w:t>
            </w:r>
          </w:p>
        </w:tc>
        <w:tc>
          <w:tcPr>
            <w:tcW w:type="dxa" w:w="3120"/>
            <w:vAlign w:val="center"/>
          </w:tcPr>
          <w:p>
            <w:r>
              <w:rPr>
                <w:sz w:val="15"/>
              </w:rPr>
              <w:t>0.0342</w:t>
            </w:r>
          </w:p>
        </w:tc>
      </w:tr>
      <w:tr>
        <w:tc>
          <w:tcPr>
            <w:tcW w:type="dxa" w:w="3120"/>
            <w:vAlign w:val="center"/>
          </w:tcPr>
          <w:p>
            <w:r>
              <w:rPr>
                <w:sz w:val="15"/>
              </w:rPr>
              <w:t>prescription_count</w:t>
            </w:r>
          </w:p>
        </w:tc>
        <w:tc>
          <w:tcPr>
            <w:tcW w:type="dxa" w:w="3120"/>
            <w:vAlign w:val="center"/>
          </w:tcPr>
          <w:p>
            <w:r>
              <w:rPr>
                <w:sz w:val="15"/>
              </w:rPr>
              <w:t>0.0486</w:t>
            </w:r>
          </w:p>
        </w:tc>
        <w:tc>
          <w:tcPr>
            <w:tcW w:type="dxa" w:w="3120"/>
            <w:vAlign w:val="center"/>
          </w:tcPr>
          <w:p>
            <w:r>
              <w:rPr>
                <w:sz w:val="15"/>
              </w:rPr>
              <w:t>0.0299</w:t>
            </w:r>
          </w:p>
        </w:tc>
      </w:tr>
      <w:tr>
        <w:tc>
          <w:tcPr>
            <w:tcW w:type="dxa" w:w="3120"/>
            <w:vAlign w:val="center"/>
          </w:tcPr>
          <w:p>
            <w:r>
              <w:rPr>
                <w:sz w:val="15"/>
              </w:rPr>
              <w:t>general_health</w:t>
            </w:r>
          </w:p>
        </w:tc>
        <w:tc>
          <w:tcPr>
            <w:tcW w:type="dxa" w:w="3120"/>
            <w:vAlign w:val="center"/>
          </w:tcPr>
          <w:p>
            <w:r>
              <w:rPr>
                <w:sz w:val="15"/>
              </w:rPr>
              <w:t>0.0202</w:t>
            </w:r>
          </w:p>
        </w:tc>
        <w:tc>
          <w:tcPr>
            <w:tcW w:type="dxa" w:w="3120"/>
            <w:vAlign w:val="center"/>
          </w:tcPr>
          <w:p>
            <w:r>
              <w:rPr>
                <w:sz w:val="15"/>
              </w:rPr>
              <w:t>0.0057</w:t>
            </w:r>
          </w:p>
        </w:tc>
      </w:tr>
      <w:tr>
        <w:tc>
          <w:tcPr>
            <w:tcW w:type="dxa" w:w="3120"/>
            <w:vAlign w:val="center"/>
          </w:tcPr>
          <w:p>
            <w:r>
              <w:rPr>
                <w:sz w:val="15"/>
              </w:rPr>
              <w:t>walking_limitation</w:t>
            </w:r>
          </w:p>
        </w:tc>
        <w:tc>
          <w:tcPr>
            <w:tcW w:type="dxa" w:w="3120"/>
            <w:vAlign w:val="center"/>
          </w:tcPr>
          <w:p>
            <w:r>
              <w:rPr>
                <w:sz w:val="15"/>
              </w:rPr>
              <w:t>0.0199</w:t>
            </w:r>
          </w:p>
        </w:tc>
        <w:tc>
          <w:tcPr>
            <w:tcW w:type="dxa" w:w="3120"/>
            <w:vAlign w:val="center"/>
          </w:tcPr>
          <w:p>
            <w:r>
              <w:rPr>
                <w:sz w:val="15"/>
              </w:rPr>
              <w:t>0.0043</w:t>
            </w:r>
          </w:p>
        </w:tc>
      </w:tr>
      <w:tr>
        <w:tc>
          <w:tcPr>
            <w:tcW w:type="dxa" w:w="3120"/>
            <w:vAlign w:val="center"/>
          </w:tcPr>
          <w:p>
            <w:r>
              <w:rPr>
                <w:sz w:val="15"/>
              </w:rPr>
              <w:t>age</w:t>
            </w:r>
          </w:p>
        </w:tc>
        <w:tc>
          <w:tcPr>
            <w:tcW w:type="dxa" w:w="3120"/>
            <w:vAlign w:val="center"/>
          </w:tcPr>
          <w:p>
            <w:r>
              <w:rPr>
                <w:sz w:val="15"/>
              </w:rPr>
              <w:t>0.0190</w:t>
            </w:r>
          </w:p>
        </w:tc>
        <w:tc>
          <w:tcPr>
            <w:tcW w:type="dxa" w:w="3120"/>
            <w:vAlign w:val="center"/>
          </w:tcPr>
          <w:p>
            <w:r>
              <w:rPr>
                <w:sz w:val="15"/>
              </w:rPr>
              <w:t>0.0105</w:t>
            </w:r>
          </w:p>
        </w:tc>
      </w:tr>
      <w:tr>
        <w:tc>
          <w:tcPr>
            <w:tcW w:type="dxa" w:w="3120"/>
            <w:vAlign w:val="center"/>
          </w:tcPr>
          <w:p>
            <w:r>
              <w:rPr>
                <w:sz w:val="15"/>
              </w:rPr>
              <w:t>log_family_income</w:t>
            </w:r>
          </w:p>
        </w:tc>
        <w:tc>
          <w:tcPr>
            <w:tcW w:type="dxa" w:w="3120"/>
            <w:vAlign w:val="center"/>
          </w:tcPr>
          <w:p>
            <w:r>
              <w:rPr>
                <w:sz w:val="15"/>
              </w:rPr>
              <w:t>0.0139</w:t>
            </w:r>
          </w:p>
        </w:tc>
        <w:tc>
          <w:tcPr>
            <w:tcW w:type="dxa" w:w="3120"/>
            <w:vAlign w:val="center"/>
          </w:tcPr>
          <w:p>
            <w:r>
              <w:rPr>
                <w:sz w:val="15"/>
              </w:rPr>
              <w:t>0.0038</w:t>
            </w:r>
          </w:p>
        </w:tc>
      </w:tr>
      <w:tr>
        <w:tc>
          <w:tcPr>
            <w:tcW w:type="dxa" w:w="3120"/>
            <w:vAlign w:val="center"/>
          </w:tcPr>
          <w:p>
            <w:r>
              <w:rPr>
                <w:sz w:val="15"/>
              </w:rPr>
              <w:t>arthritis</w:t>
            </w:r>
          </w:p>
        </w:tc>
        <w:tc>
          <w:tcPr>
            <w:tcW w:type="dxa" w:w="3120"/>
            <w:vAlign w:val="center"/>
          </w:tcPr>
          <w:p>
            <w:r>
              <w:rPr>
                <w:sz w:val="15"/>
              </w:rPr>
              <w:t>0.0115</w:t>
            </w:r>
          </w:p>
        </w:tc>
        <w:tc>
          <w:tcPr>
            <w:tcW w:type="dxa" w:w="3120"/>
            <w:vAlign w:val="center"/>
          </w:tcPr>
          <w:p>
            <w:r>
              <w:rPr>
                <w:sz w:val="15"/>
              </w:rPr>
              <w:t>0.0071</w:t>
            </w:r>
          </w:p>
        </w:tc>
      </w:tr>
      <w:tr>
        <w:tc>
          <w:tcPr>
            <w:tcW w:type="dxa" w:w="3120"/>
            <w:vAlign w:val="center"/>
          </w:tcPr>
          <w:p>
            <w:r>
              <w:rPr>
                <w:sz w:val="15"/>
              </w:rPr>
              <w:t>employed</w:t>
            </w:r>
          </w:p>
        </w:tc>
        <w:tc>
          <w:tcPr>
            <w:tcW w:type="dxa" w:w="3120"/>
            <w:vAlign w:val="center"/>
          </w:tcPr>
          <w:p>
            <w:r>
              <w:rPr>
                <w:sz w:val="15"/>
              </w:rPr>
              <w:t>0.0075</w:t>
            </w:r>
          </w:p>
        </w:tc>
        <w:tc>
          <w:tcPr>
            <w:tcW w:type="dxa" w:w="3120"/>
            <w:vAlign w:val="center"/>
          </w:tcPr>
          <w:p>
            <w:r>
              <w:rPr>
                <w:sz w:val="15"/>
              </w:rPr>
              <w:t>0.0035</w:t>
            </w:r>
          </w:p>
        </w:tc>
      </w:tr>
      <w:tr>
        <w:tc>
          <w:tcPr>
            <w:tcW w:type="dxa" w:w="3120"/>
            <w:vAlign w:val="center"/>
          </w:tcPr>
          <w:p>
            <w:r>
              <w:rPr>
                <w:sz w:val="15"/>
              </w:rPr>
              <w:t>cancer</w:t>
            </w:r>
          </w:p>
        </w:tc>
        <w:tc>
          <w:tcPr>
            <w:tcW w:type="dxa" w:w="3120"/>
            <w:vAlign w:val="center"/>
          </w:tcPr>
          <w:p>
            <w:r>
              <w:rPr>
                <w:sz w:val="15"/>
              </w:rPr>
              <w:t>0.0072</w:t>
            </w:r>
          </w:p>
        </w:tc>
        <w:tc>
          <w:tcPr>
            <w:tcW w:type="dxa" w:w="3120"/>
            <w:vAlign w:val="center"/>
          </w:tcPr>
          <w:p>
            <w:r>
              <w:rPr>
                <w:sz w:val="15"/>
              </w:rPr>
              <w:t>0.0021</w:t>
            </w:r>
          </w:p>
        </w:tc>
      </w:tr>
      <w:tr>
        <w:tc>
          <w:tcPr>
            <w:tcW w:type="dxa" w:w="3120"/>
            <w:vAlign w:val="center"/>
          </w:tcPr>
          <w:p>
            <w:r>
              <w:rPr>
                <w:sz w:val="15"/>
              </w:rPr>
              <w:t>chronic_burden</w:t>
            </w:r>
          </w:p>
        </w:tc>
        <w:tc>
          <w:tcPr>
            <w:tcW w:type="dxa" w:w="3120"/>
            <w:vAlign w:val="center"/>
          </w:tcPr>
          <w:p>
            <w:r>
              <w:rPr>
                <w:sz w:val="15"/>
              </w:rPr>
              <w:t>0.0064</w:t>
            </w:r>
          </w:p>
        </w:tc>
        <w:tc>
          <w:tcPr>
            <w:tcW w:type="dxa" w:w="3120"/>
            <w:vAlign w:val="center"/>
          </w:tcPr>
          <w:p>
            <w:r>
              <w:rPr>
                <w:sz w:val="15"/>
              </w:rPr>
              <w:t>0.0032</w:t>
            </w:r>
          </w:p>
        </w:tc>
      </w:tr>
      <w:tr>
        <w:tc>
          <w:tcPr>
            <w:tcW w:type="dxa" w:w="3120"/>
            <w:vAlign w:val="center"/>
          </w:tcPr>
          <w:p>
            <w:r>
              <w:rPr>
                <w:sz w:val="15"/>
              </w:rPr>
              <w:t>home_health_days</w:t>
            </w:r>
          </w:p>
        </w:tc>
        <w:tc>
          <w:tcPr>
            <w:tcW w:type="dxa" w:w="3120"/>
            <w:vAlign w:val="center"/>
          </w:tcPr>
          <w:p>
            <w:r>
              <w:rPr>
                <w:sz w:val="15"/>
              </w:rPr>
              <w:t>0.0053</w:t>
            </w:r>
          </w:p>
        </w:tc>
        <w:tc>
          <w:tcPr>
            <w:tcW w:type="dxa" w:w="3120"/>
            <w:vAlign w:val="center"/>
          </w:tcPr>
          <w:p>
            <w:r>
              <w:rPr>
                <w:sz w:val="15"/>
              </w:rPr>
              <w:t>0.0021</w:t>
            </w:r>
          </w:p>
        </w:tc>
      </w:tr>
      <w:tr>
        <w:tc>
          <w:tcPr>
            <w:tcW w:type="dxa" w:w="3120"/>
            <w:vAlign w:val="center"/>
          </w:tcPr>
          <w:p>
            <w:r>
              <w:rPr>
                <w:sz w:val="15"/>
              </w:rPr>
              <w:t>high_cholesterol</w:t>
            </w:r>
          </w:p>
        </w:tc>
        <w:tc>
          <w:tcPr>
            <w:tcW w:type="dxa" w:w="3120"/>
            <w:vAlign w:val="center"/>
          </w:tcPr>
          <w:p>
            <w:r>
              <w:rPr>
                <w:sz w:val="15"/>
              </w:rPr>
              <w:t>0.0035</w:t>
            </w:r>
          </w:p>
        </w:tc>
        <w:tc>
          <w:tcPr>
            <w:tcW w:type="dxa" w:w="3120"/>
            <w:vAlign w:val="center"/>
          </w:tcPr>
          <w:p>
            <w:r>
              <w:rPr>
                <w:sz w:val="15"/>
              </w:rPr>
              <w:t>0.0014</w:t>
            </w:r>
          </w:p>
        </w:tc>
      </w:tr>
      <w:tr>
        <w:tc>
          <w:tcPr>
            <w:tcW w:type="dxa" w:w="3120"/>
            <w:vAlign w:val="center"/>
          </w:tcPr>
          <w:p>
            <w:r>
              <w:rPr>
                <w:sz w:val="15"/>
              </w:rPr>
              <w:t>marital_status</w:t>
            </w:r>
          </w:p>
        </w:tc>
        <w:tc>
          <w:tcPr>
            <w:tcW w:type="dxa" w:w="3120"/>
            <w:vAlign w:val="center"/>
          </w:tcPr>
          <w:p>
            <w:r>
              <w:rPr>
                <w:sz w:val="15"/>
              </w:rPr>
              <w:t>0.0029</w:t>
            </w:r>
          </w:p>
        </w:tc>
        <w:tc>
          <w:tcPr>
            <w:tcW w:type="dxa" w:w="3120"/>
            <w:vAlign w:val="center"/>
          </w:tcPr>
          <w:p>
            <w:r>
              <w:rPr>
                <w:sz w:val="15"/>
              </w:rPr>
              <w:t>0.0021</w:t>
            </w:r>
          </w:p>
        </w:tc>
      </w:tr>
      <w:tr>
        <w:tc>
          <w:tcPr>
            <w:tcW w:type="dxa" w:w="3120"/>
            <w:vAlign w:val="center"/>
          </w:tcPr>
          <w:p>
            <w:r>
              <w:rPr>
                <w:sz w:val="15"/>
              </w:rPr>
              <w:t>stroke</w:t>
            </w:r>
          </w:p>
        </w:tc>
        <w:tc>
          <w:tcPr>
            <w:tcW w:type="dxa" w:w="3120"/>
            <w:vAlign w:val="center"/>
          </w:tcPr>
          <w:p>
            <w:r>
              <w:rPr>
                <w:sz w:val="15"/>
              </w:rPr>
              <w:t>0.0014</w:t>
            </w:r>
          </w:p>
        </w:tc>
        <w:tc>
          <w:tcPr>
            <w:tcW w:type="dxa" w:w="3120"/>
            <w:vAlign w:val="center"/>
          </w:tcPr>
          <w:p>
            <w:r>
              <w:rPr>
                <w:sz w:val="15"/>
              </w:rPr>
              <w:t>0.0009</w:t>
            </w:r>
          </w:p>
        </w:tc>
      </w:tr>
      <w:tr>
        <w:tc>
          <w:tcPr>
            <w:tcW w:type="dxa" w:w="3120"/>
            <w:vAlign w:val="center"/>
          </w:tcPr>
          <w:p>
            <w:r>
              <w:rPr>
                <w:sz w:val="15"/>
              </w:rPr>
              <w:t>dental_visits</w:t>
            </w:r>
          </w:p>
        </w:tc>
        <w:tc>
          <w:tcPr>
            <w:tcW w:type="dxa" w:w="3120"/>
            <w:vAlign w:val="center"/>
          </w:tcPr>
          <w:p>
            <w:r>
              <w:rPr>
                <w:sz w:val="15"/>
              </w:rPr>
              <w:t>0.0014</w:t>
            </w:r>
          </w:p>
        </w:tc>
        <w:tc>
          <w:tcPr>
            <w:tcW w:type="dxa" w:w="3120"/>
            <w:vAlign w:val="center"/>
          </w:tcPr>
          <w:p>
            <w:r>
              <w:rPr>
                <w:sz w:val="15"/>
              </w:rPr>
              <w:t>0.0045</w:t>
            </w:r>
          </w:p>
        </w:tc>
      </w:tr>
    </w:tbl>
    <w:p/>
    <w:p>
      <w:pPr>
        <w:jc w:val="center"/>
      </w:pPr>
      <w:r>
        <w:drawing>
          <wp:inline xmlns:a="http://schemas.openxmlformats.org/drawingml/2006/main" xmlns:pic="http://schemas.openxmlformats.org/drawingml/2006/picture">
            <wp:extent cx="5943600" cy="4457700"/>
            <wp:docPr id="8" name="Picture 8"/>
            <wp:cNvGraphicFramePr>
              <a:graphicFrameLocks noChangeAspect="1"/>
            </wp:cNvGraphicFramePr>
            <a:graphic>
              <a:graphicData uri="http://schemas.openxmlformats.org/drawingml/2006/picture">
                <pic:pic>
                  <pic:nvPicPr>
                    <pic:cNvPr id="0" name="figure_8_feature_importance.png"/>
                    <pic:cNvPicPr/>
                  </pic:nvPicPr>
                  <pic:blipFill>
                    <a:blip r:embed="rId16"/>
                    <a:stretch>
                      <a:fillRect/>
                    </a:stretch>
                  </pic:blipFill>
                  <pic:spPr>
                    <a:xfrm>
                      <a:off x="0" y="0"/>
                      <a:ext cx="5943600" cy="4457700"/>
                    </a:xfrm>
                    <a:prstGeom prst="rect"/>
                  </pic:spPr>
                </pic:pic>
              </a:graphicData>
            </a:graphic>
          </wp:inline>
        </w:drawing>
      </w:r>
    </w:p>
    <w:p>
      <w:pPr>
        <w:jc w:val="center"/>
      </w:pPr>
      <w:r>
        <w:rPr>
          <w:i/>
          <w:sz w:val="18"/>
        </w:rPr>
        <w:t>Figure 8. Top predictors of future high-cost status.</w:t>
      </w:r>
    </w:p>
    <w:p>
      <w:r>
        <w:t>Prior-year expenditure was the dominant predictor, followed by prescription volume, general health, walking limitation, age, family income, arthritis, employment, cancer, chronic-condition burden, and home-health use. These findings are operationally plausible: prior resource use captures existing care intensity, while health status and limitations help distinguish persistent or emerging need. Because permutation importance measures predictive contribution rather than causality, these variables should not be interpreted as intervention effects.</w:t>
      </w:r>
    </w:p>
    <w:p>
      <w:pPr>
        <w:pStyle w:val="Heading2"/>
      </w:pPr>
      <w:r>
        <w:t>Calibration and Risk Segmentation</w:t>
      </w:r>
    </w:p>
    <w:p>
      <w:pPr>
        <w:jc w:val="center"/>
      </w:pPr>
      <w:r>
        <w:drawing>
          <wp:inline xmlns:a="http://schemas.openxmlformats.org/drawingml/2006/main" xmlns:pic="http://schemas.openxmlformats.org/drawingml/2006/picture">
            <wp:extent cx="5943600" cy="5094514"/>
            <wp:docPr id="9" name="Picture 9"/>
            <wp:cNvGraphicFramePr>
              <a:graphicFrameLocks noChangeAspect="1"/>
            </wp:cNvGraphicFramePr>
            <a:graphic>
              <a:graphicData uri="http://schemas.openxmlformats.org/drawingml/2006/picture">
                <pic:pic>
                  <pic:nvPicPr>
                    <pic:cNvPr id="0" name="figure_9_calibration.png"/>
                    <pic:cNvPicPr/>
                  </pic:nvPicPr>
                  <pic:blipFill>
                    <a:blip r:embed="rId17"/>
                    <a:stretch>
                      <a:fillRect/>
                    </a:stretch>
                  </pic:blipFill>
                  <pic:spPr>
                    <a:xfrm>
                      <a:off x="0" y="0"/>
                      <a:ext cx="5943600" cy="5094514"/>
                    </a:xfrm>
                    <a:prstGeom prst="rect"/>
                  </pic:spPr>
                </pic:pic>
              </a:graphicData>
            </a:graphic>
          </wp:inline>
        </w:drawing>
      </w:r>
    </w:p>
    <w:p>
      <w:pPr>
        <w:jc w:val="center"/>
      </w:pPr>
      <w:r>
        <w:rPr>
          <w:i/>
          <w:sz w:val="18"/>
        </w:rPr>
        <w:t>Figure 9. Calibration curves on sealed validation data.</w:t>
      </w:r>
    </w:p>
    <w:p>
      <w:r>
        <w:rPr>
          <w:b/>
        </w:rPr>
        <w:t>Table 10. Risk Segment Performance</w:t>
      </w:r>
    </w:p>
    <w:tbl>
      <w:tblPr>
        <w:tblStyle w:val="TableGrid"/>
        <w:tblW w:type="auto" w:w="0"/>
        <w:jc w:val="center"/>
        <w:tblLook w:firstColumn="1" w:firstRow="1" w:lastColumn="0" w:lastRow="0" w:noHBand="0" w:noVBand="1" w:val="04A0"/>
      </w:tblPr>
      <w:tblGrid>
        <w:gridCol w:w="2340"/>
        <w:gridCol w:w="2340"/>
        <w:gridCol w:w="2340"/>
        <w:gridCol w:w="2340"/>
      </w:tblGrid>
      <w:tr>
        <w:trPr>
          <w:tblHeader w:val="true"/>
        </w:trPr>
        <w:tc>
          <w:tcPr>
            <w:tcW w:type="dxa" w:w="2340"/>
            <w:shd w:fill="1F4E78"/>
          </w:tcPr>
          <w:p>
            <w:r>
              <w:rPr>
                <w:b/>
                <w:color w:val="FFFFFF"/>
                <w:sz w:val="16"/>
              </w:rPr>
              <w:t>Risk_Segment</w:t>
            </w:r>
          </w:p>
        </w:tc>
        <w:tc>
          <w:tcPr>
            <w:tcW w:type="dxa" w:w="2340"/>
            <w:shd w:fill="1F4E78"/>
          </w:tcPr>
          <w:p>
            <w:r>
              <w:rPr>
                <w:b/>
                <w:color w:val="FFFFFF"/>
                <w:sz w:val="16"/>
              </w:rPr>
              <w:t>Patients</w:t>
            </w:r>
          </w:p>
        </w:tc>
        <w:tc>
          <w:tcPr>
            <w:tcW w:type="dxa" w:w="2340"/>
            <w:shd w:fill="1F4E78"/>
          </w:tcPr>
          <w:p>
            <w:r>
              <w:rPr>
                <w:b/>
                <w:color w:val="FFFFFF"/>
                <w:sz w:val="16"/>
              </w:rPr>
              <w:t>Observed_High_Cost_Rate</w:t>
            </w:r>
          </w:p>
        </w:tc>
        <w:tc>
          <w:tcPr>
            <w:tcW w:type="dxa" w:w="2340"/>
            <w:shd w:fill="1F4E78"/>
          </w:tcPr>
          <w:p>
            <w:r>
              <w:rPr>
                <w:b/>
                <w:color w:val="FFFFFF"/>
                <w:sz w:val="16"/>
              </w:rPr>
              <w:t>Mean_Predicted_Risk</w:t>
            </w:r>
          </w:p>
        </w:tc>
      </w:tr>
      <w:tr>
        <w:tc>
          <w:tcPr>
            <w:tcW w:type="dxa" w:w="2340"/>
            <w:vAlign w:val="center"/>
          </w:tcPr>
          <w:p>
            <w:r>
              <w:rPr>
                <w:sz w:val="15"/>
              </w:rPr>
              <w:t>Very Low</w:t>
            </w:r>
          </w:p>
        </w:tc>
        <w:tc>
          <w:tcPr>
            <w:tcW w:type="dxa" w:w="2340"/>
            <w:vAlign w:val="center"/>
          </w:tcPr>
          <w:p>
            <w:r>
              <w:rPr>
                <w:sz w:val="15"/>
              </w:rPr>
              <w:t>164</w:t>
            </w:r>
          </w:p>
        </w:tc>
        <w:tc>
          <w:tcPr>
            <w:tcW w:type="dxa" w:w="2340"/>
            <w:vAlign w:val="center"/>
          </w:tcPr>
          <w:p>
            <w:r>
              <w:rPr>
                <w:sz w:val="15"/>
              </w:rPr>
              <w:t>0.0244</w:t>
            </w:r>
          </w:p>
        </w:tc>
        <w:tc>
          <w:tcPr>
            <w:tcW w:type="dxa" w:w="2340"/>
            <w:vAlign w:val="center"/>
          </w:tcPr>
          <w:p>
            <w:r>
              <w:rPr>
                <w:sz w:val="15"/>
              </w:rPr>
              <w:t>0.0304</w:t>
            </w:r>
          </w:p>
        </w:tc>
      </w:tr>
      <w:tr>
        <w:tc>
          <w:tcPr>
            <w:tcW w:type="dxa" w:w="2340"/>
            <w:vAlign w:val="center"/>
          </w:tcPr>
          <w:p>
            <w:r>
              <w:rPr>
                <w:sz w:val="15"/>
              </w:rPr>
              <w:t>Low</w:t>
            </w:r>
          </w:p>
        </w:tc>
        <w:tc>
          <w:tcPr>
            <w:tcW w:type="dxa" w:w="2340"/>
            <w:vAlign w:val="center"/>
          </w:tcPr>
          <w:p>
            <w:r>
              <w:rPr>
                <w:sz w:val="15"/>
              </w:rPr>
              <w:t>163</w:t>
            </w:r>
          </w:p>
        </w:tc>
        <w:tc>
          <w:tcPr>
            <w:tcW w:type="dxa" w:w="2340"/>
            <w:vAlign w:val="center"/>
          </w:tcPr>
          <w:p>
            <w:r>
              <w:rPr>
                <w:sz w:val="15"/>
              </w:rPr>
              <w:t>0.0429</w:t>
            </w:r>
          </w:p>
        </w:tc>
        <w:tc>
          <w:tcPr>
            <w:tcW w:type="dxa" w:w="2340"/>
            <w:vAlign w:val="center"/>
          </w:tcPr>
          <w:p>
            <w:r>
              <w:rPr>
                <w:sz w:val="15"/>
              </w:rPr>
              <w:t>0.0883</w:t>
            </w:r>
          </w:p>
        </w:tc>
      </w:tr>
      <w:tr>
        <w:tc>
          <w:tcPr>
            <w:tcW w:type="dxa" w:w="2340"/>
            <w:vAlign w:val="center"/>
          </w:tcPr>
          <w:p>
            <w:r>
              <w:rPr>
                <w:sz w:val="15"/>
              </w:rPr>
              <w:t>Moderate</w:t>
            </w:r>
          </w:p>
        </w:tc>
        <w:tc>
          <w:tcPr>
            <w:tcW w:type="dxa" w:w="2340"/>
            <w:vAlign w:val="center"/>
          </w:tcPr>
          <w:p>
            <w:r>
              <w:rPr>
                <w:sz w:val="15"/>
              </w:rPr>
              <w:t>164</w:t>
            </w:r>
          </w:p>
        </w:tc>
        <w:tc>
          <w:tcPr>
            <w:tcW w:type="dxa" w:w="2340"/>
            <w:vAlign w:val="center"/>
          </w:tcPr>
          <w:p>
            <w:r>
              <w:rPr>
                <w:sz w:val="15"/>
              </w:rPr>
              <w:t>0.0488</w:t>
            </w:r>
          </w:p>
        </w:tc>
        <w:tc>
          <w:tcPr>
            <w:tcW w:type="dxa" w:w="2340"/>
            <w:vAlign w:val="center"/>
          </w:tcPr>
          <w:p>
            <w:r>
              <w:rPr>
                <w:sz w:val="15"/>
              </w:rPr>
              <w:t>0.1728</w:t>
            </w:r>
          </w:p>
        </w:tc>
      </w:tr>
      <w:tr>
        <w:tc>
          <w:tcPr>
            <w:tcW w:type="dxa" w:w="2340"/>
            <w:vAlign w:val="center"/>
          </w:tcPr>
          <w:p>
            <w:r>
              <w:rPr>
                <w:sz w:val="15"/>
              </w:rPr>
              <w:t>High</w:t>
            </w:r>
          </w:p>
        </w:tc>
        <w:tc>
          <w:tcPr>
            <w:tcW w:type="dxa" w:w="2340"/>
            <w:vAlign w:val="center"/>
          </w:tcPr>
          <w:p>
            <w:r>
              <w:rPr>
                <w:sz w:val="15"/>
              </w:rPr>
              <w:t>163</w:t>
            </w:r>
          </w:p>
        </w:tc>
        <w:tc>
          <w:tcPr>
            <w:tcW w:type="dxa" w:w="2340"/>
            <w:vAlign w:val="center"/>
          </w:tcPr>
          <w:p>
            <w:r>
              <w:rPr>
                <w:sz w:val="15"/>
              </w:rPr>
              <w:t>0.0920</w:t>
            </w:r>
          </w:p>
        </w:tc>
        <w:tc>
          <w:tcPr>
            <w:tcW w:type="dxa" w:w="2340"/>
            <w:vAlign w:val="center"/>
          </w:tcPr>
          <w:p>
            <w:r>
              <w:rPr>
                <w:sz w:val="15"/>
              </w:rPr>
              <w:t>0.2852</w:t>
            </w:r>
          </w:p>
        </w:tc>
      </w:tr>
      <w:tr>
        <w:tc>
          <w:tcPr>
            <w:tcW w:type="dxa" w:w="2340"/>
            <w:vAlign w:val="center"/>
          </w:tcPr>
          <w:p>
            <w:r>
              <w:rPr>
                <w:sz w:val="15"/>
              </w:rPr>
              <w:t>Very High</w:t>
            </w:r>
          </w:p>
        </w:tc>
        <w:tc>
          <w:tcPr>
            <w:tcW w:type="dxa" w:w="2340"/>
            <w:vAlign w:val="center"/>
          </w:tcPr>
          <w:p>
            <w:r>
              <w:rPr>
                <w:sz w:val="15"/>
              </w:rPr>
              <w:t>164</w:t>
            </w:r>
          </w:p>
        </w:tc>
        <w:tc>
          <w:tcPr>
            <w:tcW w:type="dxa" w:w="2340"/>
            <w:vAlign w:val="center"/>
          </w:tcPr>
          <w:p>
            <w:r>
              <w:rPr>
                <w:sz w:val="15"/>
              </w:rPr>
              <w:t>0.3780</w:t>
            </w:r>
          </w:p>
        </w:tc>
        <w:tc>
          <w:tcPr>
            <w:tcW w:type="dxa" w:w="2340"/>
            <w:vAlign w:val="center"/>
          </w:tcPr>
          <w:p>
            <w:r>
              <w:rPr>
                <w:sz w:val="15"/>
              </w:rPr>
              <w:t>0.6253</w:t>
            </w:r>
          </w:p>
        </w:tc>
      </w:tr>
    </w:tbl>
    <w:p/>
    <w:p>
      <w:pPr>
        <w:jc w:val="center"/>
      </w:pPr>
      <w:r>
        <w:drawing>
          <wp:inline xmlns:a="http://schemas.openxmlformats.org/drawingml/2006/main" xmlns:pic="http://schemas.openxmlformats.org/drawingml/2006/picture">
            <wp:extent cx="5943600" cy="4245429"/>
            <wp:docPr id="10" name="Picture 10"/>
            <wp:cNvGraphicFramePr>
              <a:graphicFrameLocks noChangeAspect="1"/>
            </wp:cNvGraphicFramePr>
            <a:graphic>
              <a:graphicData uri="http://schemas.openxmlformats.org/drawingml/2006/picture">
                <pic:pic>
                  <pic:nvPicPr>
                    <pic:cNvPr id="0" name="figure_10_risk_segments.png"/>
                    <pic:cNvPicPr/>
                  </pic:nvPicPr>
                  <pic:blipFill>
                    <a:blip r:embed="rId18"/>
                    <a:stretch>
                      <a:fillRect/>
                    </a:stretch>
                  </pic:blipFill>
                  <pic:spPr>
                    <a:xfrm>
                      <a:off x="0" y="0"/>
                      <a:ext cx="5943600" cy="4245429"/>
                    </a:xfrm>
                    <a:prstGeom prst="rect"/>
                  </pic:spPr>
                </pic:pic>
              </a:graphicData>
            </a:graphic>
          </wp:inline>
        </w:drawing>
      </w:r>
    </w:p>
    <w:p>
      <w:pPr>
        <w:jc w:val="center"/>
      </w:pPr>
      <w:r>
        <w:rPr>
          <w:i/>
          <w:sz w:val="18"/>
        </w:rPr>
        <w:t>Figure 10. Observed high-cost rate by predicted risk segment.</w:t>
      </w:r>
    </w:p>
    <w:p>
      <w:r>
        <w:t>The observed high-cost rate rose from 2.4% in the very-low-risk group to 37.8% in the very-high-risk group. This monotonic gradient indicates that the score provides useful risk stratification even when a single classification threshold is not optimal for every organization.</w:t>
      </w:r>
    </w:p>
    <w:p>
      <w:pPr>
        <w:pStyle w:val="Heading1"/>
      </w:pPr>
      <w:r>
        <w:t>Evaluation of Risk</w:t>
      </w:r>
    </w:p>
    <w:p>
      <w:r>
        <w:t>The largest analytic risks are false negatives, false positives, model drift, data-quality variation, and inequitable performance across demographic groups. False negatives may deny preventive resources to people who later incur high costs. False positives may consume care-management capacity without sufficient benefit. Operational deployment should therefore use tiered risk categories, capacity-aware thresholds, and human review rather than a rigid automated decision.</w:t>
      </w:r>
    </w:p>
    <w:p>
      <w:pPr>
        <w:pStyle w:val="Heading2"/>
      </w:pPr>
      <w:r>
        <w:t>Scenario-Based Stress Testing</w:t>
      </w:r>
    </w:p>
    <w:p>
      <w:r>
        <w:rPr>
          <w:b/>
        </w:rPr>
        <w:t>Table 11. Synthetic Scenario Stress Test</w:t>
      </w:r>
    </w:p>
    <w:tbl>
      <w:tblPr>
        <w:tblStyle w:val="TableGrid"/>
        <w:tblW w:type="auto" w:w="0"/>
        <w:jc w:val="center"/>
        <w:tblLook w:firstColumn="1" w:firstRow="1" w:lastColumn="0" w:lastRow="0" w:noHBand="0" w:noVBand="1" w:val="04A0"/>
      </w:tblPr>
      <w:tblGrid>
        <w:gridCol w:w="4680"/>
        <w:gridCol w:w="4680"/>
      </w:tblGrid>
      <w:tr>
        <w:trPr>
          <w:tblHeader w:val="true"/>
        </w:trPr>
        <w:tc>
          <w:tcPr>
            <w:tcW w:type="dxa" w:w="4680"/>
            <w:shd w:fill="1F4E78"/>
          </w:tcPr>
          <w:p>
            <w:r>
              <w:rPr>
                <w:b/>
                <w:color w:val="FFFFFF"/>
                <w:sz w:val="16"/>
              </w:rPr>
              <w:t>Scenario</w:t>
            </w:r>
          </w:p>
        </w:tc>
        <w:tc>
          <w:tcPr>
            <w:tcW w:type="dxa" w:w="4680"/>
            <w:shd w:fill="1F4E78"/>
          </w:tcPr>
          <w:p>
            <w:r>
              <w:rPr>
                <w:b/>
                <w:color w:val="FFFFFF"/>
                <w:sz w:val="16"/>
              </w:rPr>
              <w:t>Predicted_High_Cost_Probability</w:t>
            </w:r>
          </w:p>
        </w:tc>
      </w:tr>
      <w:tr>
        <w:tc>
          <w:tcPr>
            <w:tcW w:type="dxa" w:w="4680"/>
            <w:vAlign w:val="center"/>
          </w:tcPr>
          <w:p>
            <w:r>
              <w:rPr>
                <w:sz w:val="15"/>
              </w:rPr>
              <w:t>Low-risk adult</w:t>
            </w:r>
          </w:p>
        </w:tc>
        <w:tc>
          <w:tcPr>
            <w:tcW w:type="dxa" w:w="4680"/>
            <w:vAlign w:val="center"/>
          </w:tcPr>
          <w:p>
            <w:r>
              <w:rPr>
                <w:sz w:val="15"/>
              </w:rPr>
              <w:t>0.1048</w:t>
            </w:r>
          </w:p>
        </w:tc>
      </w:tr>
      <w:tr>
        <w:tc>
          <w:tcPr>
            <w:tcW w:type="dxa" w:w="4680"/>
            <w:vAlign w:val="center"/>
          </w:tcPr>
          <w:p>
            <w:r>
              <w:rPr>
                <w:sz w:val="15"/>
              </w:rPr>
              <w:t>Moderate chronic risk</w:t>
            </w:r>
          </w:p>
        </w:tc>
        <w:tc>
          <w:tcPr>
            <w:tcW w:type="dxa" w:w="4680"/>
            <w:vAlign w:val="center"/>
          </w:tcPr>
          <w:p>
            <w:r>
              <w:rPr>
                <w:sz w:val="15"/>
              </w:rPr>
              <w:t>0.3376</w:t>
            </w:r>
          </w:p>
        </w:tc>
      </w:tr>
      <w:tr>
        <w:tc>
          <w:tcPr>
            <w:tcW w:type="dxa" w:w="4680"/>
            <w:vAlign w:val="center"/>
          </w:tcPr>
          <w:p>
            <w:r>
              <w:rPr>
                <w:sz w:val="15"/>
              </w:rPr>
              <w:t>High utilization risk</w:t>
            </w:r>
          </w:p>
        </w:tc>
        <w:tc>
          <w:tcPr>
            <w:tcW w:type="dxa" w:w="4680"/>
            <w:vAlign w:val="center"/>
          </w:tcPr>
          <w:p>
            <w:r>
              <w:rPr>
                <w:sz w:val="15"/>
              </w:rPr>
              <w:t>0.8176</w:t>
            </w:r>
          </w:p>
        </w:tc>
      </w:tr>
    </w:tbl>
    <w:p/>
    <w:p>
      <w:r>
        <w:t>The stress test produced the expected ordering: the low-risk adult received the lowest predicted probability, the moderate chronic-risk case received an intermediate probability, and the high-utilization case received the highest probability. This does not prove external validity, but it confirms that the model responds directionally to clinically and financially plausible risk patterns.</w:t>
      </w:r>
    </w:p>
    <w:p>
      <w:pPr>
        <w:pStyle w:val="Heading1"/>
      </w:pPr>
      <w:r>
        <w:t>External Model Verification and Calibration</w:t>
      </w:r>
    </w:p>
    <w:p>
      <w:pPr>
        <w:pStyle w:val="Heading2"/>
      </w:pPr>
      <w:r>
        <w:t>Literature Review</w:t>
      </w:r>
    </w:p>
    <w:p>
      <w:r>
        <w:t>Prior research supports the feasibility of prospective high-cost prediction while also documenting substantial uncertainty. Langenberger et al. compared machine learning methods for future high-cost patients and emphasized that model performance depends on the prediction horizon, cost definition, and available claims history. Luo et al. found that machine learning could identify potential high-cost patients and highlight influential predictors. Osawa et al. reported that combining screening and claims information produced useful discrimination for high-need, high-cost status. Earlier work by Powers et al. demonstrated that prior cost and morbidity information are important for prospective total-cost modeling. The present findings are consistent with this literature because prior expenditure, utilization, health status, and functional limitation emerged as leading predictors, while Random Forest offered stronger ranking performance than simpler alternatives.</w:t>
      </w:r>
    </w:p>
    <w:p>
      <w:pPr>
        <w:pStyle w:val="Heading2"/>
      </w:pPr>
      <w:r>
        <w:t>External Benchmarks</w:t>
      </w:r>
    </w:p>
    <w:p>
      <w:r>
        <w:t>AHRQ expenditure-concentration reports provide an external benchmark for the target definition. In 2022, the highest-spending 5% of the U.S. civilian noninstitutionalized population accounted for approximately half of healthcare expenditures. Historical MEPS work also shows incomplete year-to-year persistence in the top spending decile, which explains why prospective identification is difficult and why longitudinal modeling adds value.</w:t>
      </w:r>
    </w:p>
    <w:p>
      <w:pPr>
        <w:pStyle w:val="Heading2"/>
      </w:pPr>
      <w:r>
        <w:t>Calibration</w:t>
      </w:r>
    </w:p>
    <w:p>
      <w:r>
        <w:t>Calibration curves showed that discrimination and probability accuracy are separate concerns. Before operational deployment, predicted probabilities should be recalibrated using the organization’s own population, cost definition, intervention capacity, and outcome horizon. Calibration should be reviewed by subgroup and repeated after meaningful changes in coding, reimbursement, utilization, or patient mix.</w:t>
      </w:r>
    </w:p>
    <w:p>
      <w:pPr>
        <w:pStyle w:val="Heading1"/>
      </w:pPr>
      <w:r>
        <w:t>Model Deployment and Model Life Cycle</w:t>
      </w:r>
    </w:p>
    <w:p>
      <w:pPr>
        <w:pStyle w:val="Heading2"/>
      </w:pPr>
      <w:r>
        <w:t>Deployment Strategy</w:t>
      </w:r>
    </w:p>
    <w:p>
      <w:r>
        <w:t>1. Data intake and validation: collect prior-year claims, utilization, condition, functional, and socioeconomic information.</w:t>
      </w:r>
    </w:p>
    <w:p>
      <w:r>
        <w:t>2. Batch risk scoring: calculate predicted high-cost probability on a defined schedule.</w:t>
      </w:r>
    </w:p>
    <w:p>
      <w:r>
        <w:t>3. Clinical and operational review: confirm eligibility, remove clearly non-actionable cases, and identify modifiable needs.</w:t>
      </w:r>
    </w:p>
    <w:p>
      <w:r>
        <w:t>4. Tiered intervention: assign outreach intensity based on predicted risk, expected benefit, and available capacity.</w:t>
      </w:r>
    </w:p>
    <w:p>
      <w:r>
        <w:t>5. Outcome tracking: monitor engagement, emergency utilization, admissions, total costs, patient experience, and equity.</w:t>
      </w:r>
    </w:p>
    <w:p>
      <w:r>
        <w:t>6. Model monitoring: review drift, calibration, false-negative rates, subgroup performance, and threshold effectiveness.</w:t>
      </w:r>
    </w:p>
    <w:p>
      <w:r>
        <w:t>7. Periodic retraining: update the model using new outcomes and revised operational objectives.</w:t>
      </w:r>
    </w:p>
    <w:p>
      <w:pPr>
        <w:pStyle w:val="Heading2"/>
      </w:pPr>
      <w:r>
        <w:t>Cost-Benefit Framework</w:t>
      </w:r>
    </w:p>
    <w:p>
      <w:r>
        <w:rPr>
          <w:b/>
        </w:rPr>
        <w:t>Table 12. Illustrative Cost-Benefit Framework</w:t>
      </w:r>
    </w:p>
    <w:tbl>
      <w:tblPr>
        <w:tblStyle w:val="TableGrid"/>
        <w:tblW w:type="auto" w:w="0"/>
        <w:jc w:val="center"/>
        <w:tblLook w:firstColumn="1" w:firstRow="1" w:lastColumn="0" w:lastRow="0" w:noHBand="0" w:noVBand="1" w:val="04A0"/>
      </w:tblPr>
      <w:tblGrid>
        <w:gridCol w:w="3120"/>
        <w:gridCol w:w="3120"/>
        <w:gridCol w:w="3120"/>
      </w:tblGrid>
      <w:tr>
        <w:trPr>
          <w:tblHeader w:val="true"/>
        </w:trPr>
        <w:tc>
          <w:tcPr>
            <w:tcW w:type="dxa" w:w="3120"/>
            <w:shd w:fill="1F4E78"/>
          </w:tcPr>
          <w:p>
            <w:r>
              <w:rPr>
                <w:b/>
                <w:color w:val="FFFFFF"/>
                <w:sz w:val="16"/>
              </w:rPr>
              <w:t>Component</w:t>
            </w:r>
          </w:p>
        </w:tc>
        <w:tc>
          <w:tcPr>
            <w:tcW w:type="dxa" w:w="3120"/>
            <w:shd w:fill="1F4E78"/>
          </w:tcPr>
          <w:p>
            <w:r>
              <w:rPr>
                <w:b/>
                <w:color w:val="FFFFFF"/>
                <w:sz w:val="16"/>
              </w:rPr>
              <w:t>Illustrative Value</w:t>
            </w:r>
          </w:p>
        </w:tc>
        <w:tc>
          <w:tcPr>
            <w:tcW w:type="dxa" w:w="3120"/>
            <w:shd w:fill="1F4E78"/>
          </w:tcPr>
          <w:p>
            <w:r>
              <w:rPr>
                <w:b/>
                <w:color w:val="FFFFFF"/>
                <w:sz w:val="16"/>
              </w:rPr>
              <w:t>Interpretation</w:t>
            </w:r>
          </w:p>
        </w:tc>
      </w:tr>
      <w:tr>
        <w:tc>
          <w:tcPr>
            <w:tcW w:type="dxa" w:w="3120"/>
            <w:vAlign w:val="center"/>
          </w:tcPr>
          <w:p>
            <w:r>
              <w:rPr>
                <w:sz w:val="15"/>
              </w:rPr>
              <w:t>Population screened</w:t>
            </w:r>
          </w:p>
        </w:tc>
        <w:tc>
          <w:tcPr>
            <w:tcW w:type="dxa" w:w="3120"/>
            <w:vAlign w:val="center"/>
          </w:tcPr>
          <w:p>
            <w:r>
              <w:rPr>
                <w:sz w:val="15"/>
              </w:rPr>
              <w:t>100,000.00</w:t>
            </w:r>
          </w:p>
        </w:tc>
        <w:tc>
          <w:tcPr>
            <w:tcW w:type="dxa" w:w="3120"/>
            <w:vAlign w:val="center"/>
          </w:tcPr>
          <w:p>
            <w:r>
              <w:rPr>
                <w:sz w:val="15"/>
              </w:rPr>
              <w:t>Illustrative health-system population</w:t>
            </w:r>
          </w:p>
        </w:tc>
      </w:tr>
      <w:tr>
        <w:tc>
          <w:tcPr>
            <w:tcW w:type="dxa" w:w="3120"/>
            <w:vAlign w:val="center"/>
          </w:tcPr>
          <w:p>
            <w:r>
              <w:rPr>
                <w:sz w:val="15"/>
              </w:rPr>
              <w:t>Patients targeted</w:t>
            </w:r>
          </w:p>
        </w:tc>
        <w:tc>
          <w:tcPr>
            <w:tcW w:type="dxa" w:w="3120"/>
            <w:vAlign w:val="center"/>
          </w:tcPr>
          <w:p>
            <w:r>
              <w:rPr>
                <w:sz w:val="15"/>
              </w:rPr>
              <w:t>10,000.00</w:t>
            </w:r>
          </w:p>
        </w:tc>
        <w:tc>
          <w:tcPr>
            <w:tcW w:type="dxa" w:w="3120"/>
            <w:vAlign w:val="center"/>
          </w:tcPr>
          <w:p>
            <w:r>
              <w:rPr>
                <w:sz w:val="15"/>
              </w:rPr>
              <w:t>Top predicted-risk decile</w:t>
            </w:r>
          </w:p>
        </w:tc>
      </w:tr>
      <w:tr>
        <w:tc>
          <w:tcPr>
            <w:tcW w:type="dxa" w:w="3120"/>
            <w:vAlign w:val="center"/>
          </w:tcPr>
          <w:p>
            <w:r>
              <w:rPr>
                <w:sz w:val="15"/>
              </w:rPr>
              <w:t>Intervention cost per targeted patient</w:t>
            </w:r>
          </w:p>
        </w:tc>
        <w:tc>
          <w:tcPr>
            <w:tcW w:type="dxa" w:w="3120"/>
            <w:vAlign w:val="center"/>
          </w:tcPr>
          <w:p>
            <w:r>
              <w:rPr>
                <w:sz w:val="15"/>
              </w:rPr>
              <w:t>500.00</w:t>
            </w:r>
          </w:p>
        </w:tc>
        <w:tc>
          <w:tcPr>
            <w:tcW w:type="dxa" w:w="3120"/>
            <w:vAlign w:val="center"/>
          </w:tcPr>
          <w:p>
            <w:r>
              <w:rPr>
                <w:sz w:val="15"/>
              </w:rPr>
              <w:t>Care management, navigation, or monitoring</w:t>
            </w:r>
          </w:p>
        </w:tc>
      </w:tr>
      <w:tr>
        <w:tc>
          <w:tcPr>
            <w:tcW w:type="dxa" w:w="3120"/>
            <w:vAlign w:val="center"/>
          </w:tcPr>
          <w:p>
            <w:r>
              <w:rPr>
                <w:sz w:val="15"/>
              </w:rPr>
              <w:t>Program investment</w:t>
            </w:r>
          </w:p>
        </w:tc>
        <w:tc>
          <w:tcPr>
            <w:tcW w:type="dxa" w:w="3120"/>
            <w:vAlign w:val="center"/>
          </w:tcPr>
          <w:p>
            <w:r>
              <w:rPr>
                <w:sz w:val="15"/>
              </w:rPr>
              <w:t>5,000,000.00</w:t>
            </w:r>
          </w:p>
        </w:tc>
        <w:tc>
          <w:tcPr>
            <w:tcW w:type="dxa" w:w="3120"/>
            <w:vAlign w:val="center"/>
          </w:tcPr>
          <w:p>
            <w:r>
              <w:rPr>
                <w:sz w:val="15"/>
              </w:rPr>
              <w:t>10,000 × $500</w:t>
            </w:r>
          </w:p>
        </w:tc>
      </w:tr>
      <w:tr>
        <w:tc>
          <w:tcPr>
            <w:tcW w:type="dxa" w:w="3120"/>
            <w:vAlign w:val="center"/>
          </w:tcPr>
          <w:p>
            <w:r>
              <w:rPr>
                <w:sz w:val="15"/>
              </w:rPr>
              <w:t>Average observed high-cost expenditure</w:t>
            </w:r>
          </w:p>
        </w:tc>
        <w:tc>
          <w:tcPr>
            <w:tcW w:type="dxa" w:w="3120"/>
            <w:vAlign w:val="center"/>
          </w:tcPr>
          <w:p>
            <w:r>
              <w:rPr>
                <w:sz w:val="15"/>
              </w:rPr>
              <w:t>48,895.00</w:t>
            </w:r>
          </w:p>
        </w:tc>
        <w:tc>
          <w:tcPr>
            <w:tcW w:type="dxa" w:w="3120"/>
            <w:vAlign w:val="center"/>
          </w:tcPr>
          <w:p>
            <w:r>
              <w:rPr>
                <w:sz w:val="15"/>
              </w:rPr>
              <w:t>Observed HC-252 analytic sample</w:t>
            </w:r>
          </w:p>
        </w:tc>
      </w:tr>
      <w:tr>
        <w:tc>
          <w:tcPr>
            <w:tcW w:type="dxa" w:w="3120"/>
            <w:vAlign w:val="center"/>
          </w:tcPr>
          <w:p>
            <w:r>
              <w:rPr>
                <w:sz w:val="15"/>
              </w:rPr>
              <w:t>Required avoided cost for break-even</w:t>
            </w:r>
          </w:p>
        </w:tc>
        <w:tc>
          <w:tcPr>
            <w:tcW w:type="dxa" w:w="3120"/>
            <w:vAlign w:val="center"/>
          </w:tcPr>
          <w:p>
            <w:r>
              <w:rPr>
                <w:sz w:val="15"/>
              </w:rPr>
              <w:t>5,000,000.00</w:t>
            </w:r>
          </w:p>
        </w:tc>
        <w:tc>
          <w:tcPr>
            <w:tcW w:type="dxa" w:w="3120"/>
            <w:vAlign w:val="center"/>
          </w:tcPr>
          <w:p>
            <w:r>
              <w:rPr>
                <w:sz w:val="15"/>
              </w:rPr>
              <w:t>Before administrative overhead and timing adjustments</w:t>
            </w:r>
          </w:p>
        </w:tc>
      </w:tr>
    </w:tbl>
    <w:p/>
    <w:p>
      <w:r>
        <w:t>The cost-benefit table is a transparent scenario, not an estimate of causal savings. A real business case must use local intervention costs, expected effect sizes from validated programs, time to benefit, engagement rates, reimbursement arrangements, and implementation overhead. The predictive model identifies risk; it does not establish that a specific intervention will prevent the predicted expenditure.</w:t>
      </w:r>
    </w:p>
    <w:p>
      <w:pPr>
        <w:pStyle w:val="Heading2"/>
      </w:pPr>
      <w:r>
        <w:t>Milestones, Training, Cost/Benefit, and Risks</w:t>
      </w:r>
    </w:p>
    <w:p>
      <w:r>
        <w:rPr>
          <w:b/>
        </w:rPr>
        <w:t>Table 13. Implementation Roadmap</w:t>
      </w:r>
    </w:p>
    <w:tbl>
      <w:tblPr>
        <w:tblStyle w:val="TableGrid"/>
        <w:tblW w:type="auto" w:w="0"/>
        <w:jc w:val="center"/>
        <w:tblLook w:firstColumn="1" w:firstRow="1" w:lastColumn="0" w:lastRow="0" w:noHBand="0" w:noVBand="1" w:val="04A0"/>
      </w:tblPr>
      <w:tblGrid>
        <w:gridCol w:w="3120"/>
        <w:gridCol w:w="3120"/>
        <w:gridCol w:w="3120"/>
      </w:tblGrid>
      <w:tr>
        <w:trPr>
          <w:tblHeader w:val="true"/>
        </w:trPr>
        <w:tc>
          <w:tcPr>
            <w:tcW w:type="dxa" w:w="3120"/>
            <w:shd w:fill="1F4E78"/>
          </w:tcPr>
          <w:p>
            <w:r>
              <w:rPr>
                <w:b/>
                <w:color w:val="FFFFFF"/>
                <w:sz w:val="16"/>
              </w:rPr>
              <w:t>Milestone</w:t>
            </w:r>
          </w:p>
        </w:tc>
        <w:tc>
          <w:tcPr>
            <w:tcW w:type="dxa" w:w="3120"/>
            <w:shd w:fill="1F4E78"/>
          </w:tcPr>
          <w:p>
            <w:r>
              <w:rPr>
                <w:b/>
                <w:color w:val="FFFFFF"/>
                <w:sz w:val="16"/>
              </w:rPr>
              <w:t>Timing</w:t>
            </w:r>
          </w:p>
        </w:tc>
        <w:tc>
          <w:tcPr>
            <w:tcW w:type="dxa" w:w="3120"/>
            <w:shd w:fill="1F4E78"/>
          </w:tcPr>
          <w:p>
            <w:r>
              <w:rPr>
                <w:b/>
                <w:color w:val="FFFFFF"/>
                <w:sz w:val="16"/>
              </w:rPr>
              <w:t>Key Output</w:t>
            </w:r>
          </w:p>
        </w:tc>
      </w:tr>
      <w:tr>
        <w:tc>
          <w:tcPr>
            <w:tcW w:type="dxa" w:w="3120"/>
            <w:vAlign w:val="center"/>
          </w:tcPr>
          <w:p>
            <w:r>
              <w:rPr>
                <w:sz w:val="15"/>
              </w:rPr>
              <w:t>1. Governance and data assessment</w:t>
            </w:r>
          </w:p>
        </w:tc>
        <w:tc>
          <w:tcPr>
            <w:tcW w:type="dxa" w:w="3120"/>
            <w:vAlign w:val="center"/>
          </w:tcPr>
          <w:p>
            <w:r>
              <w:rPr>
                <w:sz w:val="15"/>
              </w:rPr>
              <w:t>Months 1-2</w:t>
            </w:r>
          </w:p>
        </w:tc>
        <w:tc>
          <w:tcPr>
            <w:tcW w:type="dxa" w:w="3120"/>
            <w:vAlign w:val="center"/>
          </w:tcPr>
          <w:p>
            <w:r>
              <w:rPr>
                <w:sz w:val="15"/>
              </w:rPr>
              <w:t>Define outcome, ownership, privacy, fairness, and success criteria</w:t>
            </w:r>
          </w:p>
        </w:tc>
      </w:tr>
      <w:tr>
        <w:tc>
          <w:tcPr>
            <w:tcW w:type="dxa" w:w="3120"/>
            <w:vAlign w:val="center"/>
          </w:tcPr>
          <w:p>
            <w:r>
              <w:rPr>
                <w:sz w:val="15"/>
              </w:rPr>
              <w:t>2. Retrospective validation</w:t>
            </w:r>
          </w:p>
        </w:tc>
        <w:tc>
          <w:tcPr>
            <w:tcW w:type="dxa" w:w="3120"/>
            <w:vAlign w:val="center"/>
          </w:tcPr>
          <w:p>
            <w:r>
              <w:rPr>
                <w:sz w:val="15"/>
              </w:rPr>
              <w:t>Months 2-4</w:t>
            </w:r>
          </w:p>
        </w:tc>
        <w:tc>
          <w:tcPr>
            <w:tcW w:type="dxa" w:w="3120"/>
            <w:vAlign w:val="center"/>
          </w:tcPr>
          <w:p>
            <w:r>
              <w:rPr>
                <w:sz w:val="15"/>
              </w:rPr>
              <w:t>Recreate model on local historical data</w:t>
            </w:r>
          </w:p>
        </w:tc>
      </w:tr>
      <w:tr>
        <w:tc>
          <w:tcPr>
            <w:tcW w:type="dxa" w:w="3120"/>
            <w:vAlign w:val="center"/>
          </w:tcPr>
          <w:p>
            <w:r>
              <w:rPr>
                <w:sz w:val="15"/>
              </w:rPr>
              <w:t>3. Silent pilot</w:t>
            </w:r>
          </w:p>
        </w:tc>
        <w:tc>
          <w:tcPr>
            <w:tcW w:type="dxa" w:w="3120"/>
            <w:vAlign w:val="center"/>
          </w:tcPr>
          <w:p>
            <w:r>
              <w:rPr>
                <w:sz w:val="15"/>
              </w:rPr>
              <w:t>Months 4-6</w:t>
            </w:r>
          </w:p>
        </w:tc>
        <w:tc>
          <w:tcPr>
            <w:tcW w:type="dxa" w:w="3120"/>
            <w:vAlign w:val="center"/>
          </w:tcPr>
          <w:p>
            <w:r>
              <w:rPr>
                <w:sz w:val="15"/>
              </w:rPr>
              <w:t>Generate scores without changing care; evaluate calibration</w:t>
            </w:r>
          </w:p>
        </w:tc>
      </w:tr>
      <w:tr>
        <w:tc>
          <w:tcPr>
            <w:tcW w:type="dxa" w:w="3120"/>
            <w:vAlign w:val="center"/>
          </w:tcPr>
          <w:p>
            <w:r>
              <w:rPr>
                <w:sz w:val="15"/>
              </w:rPr>
              <w:t>4. Controlled intervention pilot</w:t>
            </w:r>
          </w:p>
        </w:tc>
        <w:tc>
          <w:tcPr>
            <w:tcW w:type="dxa" w:w="3120"/>
            <w:vAlign w:val="center"/>
          </w:tcPr>
          <w:p>
            <w:r>
              <w:rPr>
                <w:sz w:val="15"/>
              </w:rPr>
              <w:t>Months 6-12</w:t>
            </w:r>
          </w:p>
        </w:tc>
        <w:tc>
          <w:tcPr>
            <w:tcW w:type="dxa" w:w="3120"/>
            <w:vAlign w:val="center"/>
          </w:tcPr>
          <w:p>
            <w:r>
              <w:rPr>
                <w:sz w:val="15"/>
              </w:rPr>
              <w:t>Test targeted workflow and measure engagement and utilization</w:t>
            </w:r>
          </w:p>
        </w:tc>
      </w:tr>
      <w:tr>
        <w:tc>
          <w:tcPr>
            <w:tcW w:type="dxa" w:w="3120"/>
            <w:vAlign w:val="center"/>
          </w:tcPr>
          <w:p>
            <w:r>
              <w:rPr>
                <w:sz w:val="15"/>
              </w:rPr>
              <w:t>5. Scaled deployment</w:t>
            </w:r>
          </w:p>
        </w:tc>
        <w:tc>
          <w:tcPr>
            <w:tcW w:type="dxa" w:w="3120"/>
            <w:vAlign w:val="center"/>
          </w:tcPr>
          <w:p>
            <w:r>
              <w:rPr>
                <w:sz w:val="15"/>
              </w:rPr>
              <w:t>Year 2</w:t>
            </w:r>
          </w:p>
        </w:tc>
        <w:tc>
          <w:tcPr>
            <w:tcW w:type="dxa" w:w="3120"/>
            <w:vAlign w:val="center"/>
          </w:tcPr>
          <w:p>
            <w:r>
              <w:rPr>
                <w:sz w:val="15"/>
              </w:rPr>
              <w:t>Expand with monitored thresholds and retraining</w:t>
            </w:r>
          </w:p>
        </w:tc>
      </w:tr>
      <w:tr>
        <w:tc>
          <w:tcPr>
            <w:tcW w:type="dxa" w:w="3120"/>
            <w:vAlign w:val="center"/>
          </w:tcPr>
          <w:p>
            <w:r>
              <w:rPr>
                <w:sz w:val="15"/>
              </w:rPr>
              <w:t>6. Continuous improvement</w:t>
            </w:r>
          </w:p>
        </w:tc>
        <w:tc>
          <w:tcPr>
            <w:tcW w:type="dxa" w:w="3120"/>
            <w:vAlign w:val="center"/>
          </w:tcPr>
          <w:p>
            <w:r>
              <w:rPr>
                <w:sz w:val="15"/>
              </w:rPr>
              <w:t>Ongoing</w:t>
            </w:r>
          </w:p>
        </w:tc>
        <w:tc>
          <w:tcPr>
            <w:tcW w:type="dxa" w:w="3120"/>
            <w:vAlign w:val="center"/>
          </w:tcPr>
          <w:p>
            <w:r>
              <w:rPr>
                <w:sz w:val="15"/>
              </w:rPr>
              <w:t>Drift, equity, safety, and ROI reviews</w:t>
            </w:r>
          </w:p>
        </w:tc>
      </w:tr>
    </w:tbl>
    <w:p/>
    <w:p>
      <w:pPr>
        <w:pStyle w:val="Heading1"/>
      </w:pPr>
      <w:r>
        <w:t>Recommendations</w:t>
      </w:r>
    </w:p>
    <w:p>
      <w:pPr>
        <w:pStyle w:val="Heading2"/>
      </w:pPr>
      <w:r>
        <w:t>Recommendations for Practice</w:t>
      </w:r>
    </w:p>
    <w:p>
      <w:pPr>
        <w:pStyle w:val="ListBullet"/>
      </w:pPr>
      <w:r>
        <w:t>Use the model as a prioritization tool paired with clinical and care-management review.</w:t>
      </w:r>
    </w:p>
    <w:p>
      <w:pPr>
        <w:pStyle w:val="ListBullet"/>
      </w:pPr>
      <w:r>
        <w:t>Select operating thresholds based on intervention capacity and the relative cost of false negatives and false positives.</w:t>
      </w:r>
    </w:p>
    <w:p>
      <w:pPr>
        <w:pStyle w:val="ListBullet"/>
      </w:pPr>
      <w:r>
        <w:t>Prioritize PR-AUC, recall, top-decile capture, calibration, and subgroup performance rather than accuracy alone.</w:t>
      </w:r>
    </w:p>
    <w:p>
      <w:pPr>
        <w:pStyle w:val="ListBullet"/>
      </w:pPr>
      <w:r>
        <w:t>Validate the model on local longitudinal data before any patient-level use.</w:t>
      </w:r>
    </w:p>
    <w:p>
      <w:pPr>
        <w:pStyle w:val="ListBullet"/>
      </w:pPr>
      <w:r>
        <w:t>Link predictions to evidence-based interventions and separately evaluate whether those interventions improve outcomes and costs.</w:t>
      </w:r>
    </w:p>
    <w:p>
      <w:pPr>
        <w:pStyle w:val="ListBullet"/>
      </w:pPr>
      <w:r>
        <w:t>Implement governance for privacy, bias, explainability, drift, security, and patient communication.</w:t>
      </w:r>
    </w:p>
    <w:p>
      <w:pPr>
        <w:pStyle w:val="Heading2"/>
      </w:pPr>
      <w:r>
        <w:t>Recommendations for Future Research</w:t>
      </w:r>
    </w:p>
    <w:p>
      <w:r>
        <w:t>Future work should evaluate multi-year prediction horizons, richer condition histories, pharmacy classes, social determinants, geographic access, provider continuity, and temporal utilization trajectories. Alternative definitions such as top 5%, preventable hospitalization costs, or cost bloom status should be tested. Fairness-aware thresholding, survival models, recurrent neural networks, and causal evaluation of targeted interventions may further strengthen the research.</w:t>
      </w:r>
    </w:p>
    <w:p>
      <w:pPr>
        <w:pStyle w:val="Heading1"/>
      </w:pPr>
      <w:r>
        <w:t>Conclusions</w:t>
      </w:r>
    </w:p>
    <w:p>
      <w:r>
        <w:t>This study developed a prospective high-cost patient prediction framework using nationally oriented longitudinal MEPS data. The final Random Forest model achieved ROC-AUC 0.817 and PR-AUC 0.443 on sealed validation data, captured 42.7% of high-cost patients in the highest predicted-risk decile, and produced lift of 4.31. Prior expenditure, medication volume, health status, mobility limitation, age, and chronic burden were the strongest predictive contributors. The results support rejection of the primary null hypothesis because baseline information contained meaningful predictive signal. The findings also support the use of nonlinear methods for ranking future cost risk, although performance varied across splits and was not sufficient to justify autonomous decisions. A carefully governed implementation could help healthcare organizations focus preventive resources more effectively, but financial benefit depends on local validation and the effectiveness of the interventions connected to the model.</w:t>
      </w:r>
    </w:p>
    <w:p>
      <w:pPr>
        <w:pStyle w:val="Heading1"/>
      </w:pPr>
      <w:r>
        <w:t>References</w:t>
      </w:r>
    </w:p>
    <w:p>
      <w:r>
        <w:t>Agency for Healthcare Research and Quality. (2025). MEPS HC-252: Panel 27 longitudinal data file. https://meps.ahrq.gov/data_stats/download_data_files_detail.jsp?cboPufNumber=HC-252</w:t>
      </w:r>
    </w:p>
    <w:p>
      <w:r>
        <w:t>Agency for Healthcare Research and Quality. (2025). MEPS HC-252 Panel 27 longitudinal data public use file documentation. https://meps.ahrq.gov/data_stats/download_data/pufs/h252/h252doc.pdf</w:t>
      </w:r>
    </w:p>
    <w:p>
      <w:r>
        <w:t>Agency for Healthcare Research and Quality. (2024). Concentration of healthcare expenditures and selected characteristics of high spenders, U.S. civilian noninstitutionalized population, 2022. https://meps.ahrq.gov/data_files/publications/st560/stat560.shtml</w:t>
      </w:r>
    </w:p>
    <w:p>
      <w:r>
        <w:t>Centers for Medicare &amp; Medicaid Services. (2026). National health expenditure data. https://www.cms.gov/data-research/statistics-trends-and-reports/national-health-expenditure-data</w:t>
      </w:r>
    </w:p>
    <w:p>
      <w:r>
        <w:t>Doupe, P., Faghmous, J., &amp; Basu, S. (2019). Machine learning for health services researchers. Value in Health, 22(7), 808-815.</w:t>
      </w:r>
    </w:p>
    <w:p>
      <w:r>
        <w:t>Langenberger, B., et al. (2023). The application of machine learning to predict high-cost patients: A performance-comparison of different models using healthcare claims data. PLOS ONE.</w:t>
      </w:r>
    </w:p>
    <w:p>
      <w:r>
        <w:t>Luo, L., et al. (2020). Using machine learning approaches to predict high-cost patients and identify potential predictors. BMC Health Services Research.</w:t>
      </w:r>
    </w:p>
    <w:p>
      <w:r>
        <w:t>Osawa, I., et al. (2020). Machine-learning-based prediction models for high-need high-cost patients using nationwide clinical and claims data. BMJ Open.</w:t>
      </w:r>
    </w:p>
    <w:p>
      <w:r>
        <w:t>Powers, C. A., Meyer, C. M., Roebuck, M. C., &amp; Vaziri, B. (2005). Predictive modeling of total healthcare costs using pharmacy claims data. Medical Care.</w:t>
      </w:r>
    </w:p>
    <w:p>
      <w:r>
        <w:t>Tamang, S., et al. (2017). Predicting patient cost blooms in Denmark: A longitudinal population study. BMJ Open.</w:t>
      </w:r>
    </w:p>
    <w:p>
      <w:r>
        <w:t>Shmueli, G., &amp; Koppius, O. R. (2011). Predictive analytics in information systems research. MIS Quarterly, 35(3), 553-572.</w:t>
      </w:r>
    </w:p>
    <w:p>
      <w:r>
        <w:t>Chapman, P., Clinton, J., Kerber, R., Khabaza, T., Reinartz, T., Shearer, C., &amp; Wirth, R. (2000). CRISP-DM 1.0: Step-by-step data mining guide.</w:t>
      </w:r>
    </w:p>
    <w:p>
      <w:pPr>
        <w:pStyle w:val="Heading1"/>
      </w:pPr>
      <w:r>
        <w:t>Appendix A: Selected Variable Dictionary</w:t>
      </w:r>
    </w:p>
    <w:p>
      <w:r>
        <w:rPr>
          <w:b/>
        </w:rPr>
        <w:t>Table A1. Core Variables</w:t>
      </w:r>
    </w:p>
    <w:tbl>
      <w:tblPr>
        <w:tblStyle w:val="TableGrid"/>
        <w:tblW w:type="auto" w:w="0"/>
        <w:jc w:val="center"/>
        <w:tblLook w:firstColumn="1" w:firstRow="1" w:lastColumn="0" w:lastRow="0" w:noHBand="0" w:noVBand="1" w:val="04A0"/>
      </w:tblPr>
      <w:tblGrid>
        <w:gridCol w:w="2340"/>
        <w:gridCol w:w="2340"/>
        <w:gridCol w:w="2340"/>
        <w:gridCol w:w="2340"/>
      </w:tblGrid>
      <w:tr>
        <w:trPr>
          <w:tblHeader w:val="true"/>
        </w:trPr>
        <w:tc>
          <w:tcPr>
            <w:tcW w:type="dxa" w:w="2340"/>
            <w:shd w:fill="1F4E78"/>
          </w:tcPr>
          <w:p>
            <w:r>
              <w:rPr>
                <w:b/>
                <w:color w:val="FFFFFF"/>
                <w:sz w:val="16"/>
              </w:rPr>
              <w:t>Variable</w:t>
            </w:r>
          </w:p>
        </w:tc>
        <w:tc>
          <w:tcPr>
            <w:tcW w:type="dxa" w:w="2340"/>
            <w:shd w:fill="1F4E78"/>
          </w:tcPr>
          <w:p>
            <w:r>
              <w:rPr>
                <w:b/>
                <w:color w:val="FFFFFF"/>
                <w:sz w:val="16"/>
              </w:rPr>
              <w:t>Description</w:t>
            </w:r>
          </w:p>
        </w:tc>
        <w:tc>
          <w:tcPr>
            <w:tcW w:type="dxa" w:w="2340"/>
            <w:shd w:fill="1F4E78"/>
          </w:tcPr>
          <w:p>
            <w:r>
              <w:rPr>
                <w:b/>
                <w:color w:val="FFFFFF"/>
                <w:sz w:val="16"/>
              </w:rPr>
              <w:t>Type</w:t>
            </w:r>
          </w:p>
        </w:tc>
        <w:tc>
          <w:tcPr>
            <w:tcW w:type="dxa" w:w="2340"/>
            <w:shd w:fill="1F4E78"/>
          </w:tcPr>
          <w:p>
            <w:r>
              <w:rPr>
                <w:b/>
                <w:color w:val="FFFFFF"/>
                <w:sz w:val="16"/>
              </w:rPr>
              <w:t>Role</w:t>
            </w:r>
          </w:p>
        </w:tc>
      </w:tr>
      <w:tr>
        <w:tc>
          <w:tcPr>
            <w:tcW w:type="dxa" w:w="2340"/>
            <w:vAlign w:val="center"/>
          </w:tcPr>
          <w:p>
            <w:r>
              <w:rPr>
                <w:sz w:val="15"/>
              </w:rPr>
              <w:t>TOTEXPY2</w:t>
            </w:r>
          </w:p>
        </w:tc>
        <w:tc>
          <w:tcPr>
            <w:tcW w:type="dxa" w:w="2340"/>
            <w:vAlign w:val="center"/>
          </w:tcPr>
          <w:p>
            <w:r>
              <w:rPr>
                <w:sz w:val="15"/>
              </w:rPr>
              <w:t>2023 total healthcare expenditure</w:t>
            </w:r>
          </w:p>
        </w:tc>
        <w:tc>
          <w:tcPr>
            <w:tcW w:type="dxa" w:w="2340"/>
            <w:vAlign w:val="center"/>
          </w:tcPr>
          <w:p>
            <w:r>
              <w:rPr>
                <w:sz w:val="15"/>
              </w:rPr>
              <w:t>Numeric</w:t>
            </w:r>
          </w:p>
        </w:tc>
        <w:tc>
          <w:tcPr>
            <w:tcW w:type="dxa" w:w="2340"/>
            <w:vAlign w:val="center"/>
          </w:tcPr>
          <w:p>
            <w:r>
              <w:rPr>
                <w:sz w:val="15"/>
              </w:rPr>
              <w:t>Outcome source</w:t>
            </w:r>
          </w:p>
        </w:tc>
      </w:tr>
      <w:tr>
        <w:tc>
          <w:tcPr>
            <w:tcW w:type="dxa" w:w="2340"/>
            <w:vAlign w:val="center"/>
          </w:tcPr>
          <w:p>
            <w:r>
              <w:rPr>
                <w:sz w:val="15"/>
              </w:rPr>
              <w:t>HIGH_COST_Y2</w:t>
            </w:r>
          </w:p>
        </w:tc>
        <w:tc>
          <w:tcPr>
            <w:tcW w:type="dxa" w:w="2340"/>
            <w:vAlign w:val="center"/>
          </w:tcPr>
          <w:p>
            <w:r>
              <w:rPr>
                <w:sz w:val="15"/>
              </w:rPr>
              <w:t>Weighted top-decile 2023 expenditure indicator</w:t>
            </w:r>
          </w:p>
        </w:tc>
        <w:tc>
          <w:tcPr>
            <w:tcW w:type="dxa" w:w="2340"/>
            <w:vAlign w:val="center"/>
          </w:tcPr>
          <w:p>
            <w:r>
              <w:rPr>
                <w:sz w:val="15"/>
              </w:rPr>
              <w:t>Binary</w:t>
            </w:r>
          </w:p>
        </w:tc>
        <w:tc>
          <w:tcPr>
            <w:tcW w:type="dxa" w:w="2340"/>
            <w:vAlign w:val="center"/>
          </w:tcPr>
          <w:p>
            <w:r>
              <w:rPr>
                <w:sz w:val="15"/>
              </w:rPr>
              <w:t>Target</w:t>
            </w:r>
          </w:p>
        </w:tc>
      </w:tr>
      <w:tr>
        <w:tc>
          <w:tcPr>
            <w:tcW w:type="dxa" w:w="2340"/>
            <w:vAlign w:val="center"/>
          </w:tcPr>
          <w:p>
            <w:r>
              <w:rPr>
                <w:sz w:val="15"/>
              </w:rPr>
              <w:t>TOTEXPY1</w:t>
            </w:r>
          </w:p>
        </w:tc>
        <w:tc>
          <w:tcPr>
            <w:tcW w:type="dxa" w:w="2340"/>
            <w:vAlign w:val="center"/>
          </w:tcPr>
          <w:p>
            <w:r>
              <w:rPr>
                <w:sz w:val="15"/>
              </w:rPr>
              <w:t>2022 total healthcare expenditure</w:t>
            </w:r>
          </w:p>
        </w:tc>
        <w:tc>
          <w:tcPr>
            <w:tcW w:type="dxa" w:w="2340"/>
            <w:vAlign w:val="center"/>
          </w:tcPr>
          <w:p>
            <w:r>
              <w:rPr>
                <w:sz w:val="15"/>
              </w:rPr>
              <w:t>Numeric</w:t>
            </w:r>
          </w:p>
        </w:tc>
        <w:tc>
          <w:tcPr>
            <w:tcW w:type="dxa" w:w="2340"/>
            <w:vAlign w:val="center"/>
          </w:tcPr>
          <w:p>
            <w:r>
              <w:rPr>
                <w:sz w:val="15"/>
              </w:rPr>
              <w:t>Predictor</w:t>
            </w:r>
          </w:p>
        </w:tc>
      </w:tr>
      <w:tr>
        <w:tc>
          <w:tcPr>
            <w:tcW w:type="dxa" w:w="2340"/>
            <w:vAlign w:val="center"/>
          </w:tcPr>
          <w:p>
            <w:r>
              <w:rPr>
                <w:sz w:val="15"/>
              </w:rPr>
              <w:t>AGEY1X</w:t>
            </w:r>
          </w:p>
        </w:tc>
        <w:tc>
          <w:tcPr>
            <w:tcW w:type="dxa" w:w="2340"/>
            <w:vAlign w:val="center"/>
          </w:tcPr>
          <w:p>
            <w:r>
              <w:rPr>
                <w:sz w:val="15"/>
              </w:rPr>
              <w:t>Age in 2022</w:t>
            </w:r>
          </w:p>
        </w:tc>
        <w:tc>
          <w:tcPr>
            <w:tcW w:type="dxa" w:w="2340"/>
            <w:vAlign w:val="center"/>
          </w:tcPr>
          <w:p>
            <w:r>
              <w:rPr>
                <w:sz w:val="15"/>
              </w:rPr>
              <w:t>Numeric</w:t>
            </w:r>
          </w:p>
        </w:tc>
        <w:tc>
          <w:tcPr>
            <w:tcW w:type="dxa" w:w="2340"/>
            <w:vAlign w:val="center"/>
          </w:tcPr>
          <w:p>
            <w:r>
              <w:rPr>
                <w:sz w:val="15"/>
              </w:rPr>
              <w:t>Predictor</w:t>
            </w:r>
          </w:p>
        </w:tc>
      </w:tr>
      <w:tr>
        <w:tc>
          <w:tcPr>
            <w:tcW w:type="dxa" w:w="2340"/>
            <w:vAlign w:val="center"/>
          </w:tcPr>
          <w:p>
            <w:r>
              <w:rPr>
                <w:sz w:val="15"/>
              </w:rPr>
              <w:t>SEX</w:t>
            </w:r>
          </w:p>
        </w:tc>
        <w:tc>
          <w:tcPr>
            <w:tcW w:type="dxa" w:w="2340"/>
            <w:vAlign w:val="center"/>
          </w:tcPr>
          <w:p>
            <w:r>
              <w:rPr>
                <w:sz w:val="15"/>
              </w:rPr>
              <w:t>Sex</w:t>
            </w:r>
          </w:p>
        </w:tc>
        <w:tc>
          <w:tcPr>
            <w:tcW w:type="dxa" w:w="2340"/>
            <w:vAlign w:val="center"/>
          </w:tcPr>
          <w:p>
            <w:r>
              <w:rPr>
                <w:sz w:val="15"/>
              </w:rPr>
              <w:t>Categorical</w:t>
            </w:r>
          </w:p>
        </w:tc>
        <w:tc>
          <w:tcPr>
            <w:tcW w:type="dxa" w:w="2340"/>
            <w:vAlign w:val="center"/>
          </w:tcPr>
          <w:p>
            <w:r>
              <w:rPr>
                <w:sz w:val="15"/>
              </w:rPr>
              <w:t>Predictor</w:t>
            </w:r>
          </w:p>
        </w:tc>
      </w:tr>
      <w:tr>
        <w:tc>
          <w:tcPr>
            <w:tcW w:type="dxa" w:w="2340"/>
            <w:vAlign w:val="center"/>
          </w:tcPr>
          <w:p>
            <w:r>
              <w:rPr>
                <w:sz w:val="15"/>
              </w:rPr>
              <w:t>RACETHX</w:t>
            </w:r>
          </w:p>
        </w:tc>
        <w:tc>
          <w:tcPr>
            <w:tcW w:type="dxa" w:w="2340"/>
            <w:vAlign w:val="center"/>
          </w:tcPr>
          <w:p>
            <w:r>
              <w:rPr>
                <w:sz w:val="15"/>
              </w:rPr>
              <w:t>Race/ethnicity category</w:t>
            </w:r>
          </w:p>
        </w:tc>
        <w:tc>
          <w:tcPr>
            <w:tcW w:type="dxa" w:w="2340"/>
            <w:vAlign w:val="center"/>
          </w:tcPr>
          <w:p>
            <w:r>
              <w:rPr>
                <w:sz w:val="15"/>
              </w:rPr>
              <w:t>Categorical</w:t>
            </w:r>
          </w:p>
        </w:tc>
        <w:tc>
          <w:tcPr>
            <w:tcW w:type="dxa" w:w="2340"/>
            <w:vAlign w:val="center"/>
          </w:tcPr>
          <w:p>
            <w:r>
              <w:rPr>
                <w:sz w:val="15"/>
              </w:rPr>
              <w:t>Predictor</w:t>
            </w:r>
          </w:p>
        </w:tc>
      </w:tr>
      <w:tr>
        <w:tc>
          <w:tcPr>
            <w:tcW w:type="dxa" w:w="2340"/>
            <w:vAlign w:val="center"/>
          </w:tcPr>
          <w:p>
            <w:r>
              <w:rPr>
                <w:sz w:val="15"/>
              </w:rPr>
              <w:t>POVCATY1</w:t>
            </w:r>
          </w:p>
        </w:tc>
        <w:tc>
          <w:tcPr>
            <w:tcW w:type="dxa" w:w="2340"/>
            <w:vAlign w:val="center"/>
          </w:tcPr>
          <w:p>
            <w:r>
              <w:rPr>
                <w:sz w:val="15"/>
              </w:rPr>
              <w:t>2022 poverty category</w:t>
            </w:r>
          </w:p>
        </w:tc>
        <w:tc>
          <w:tcPr>
            <w:tcW w:type="dxa" w:w="2340"/>
            <w:vAlign w:val="center"/>
          </w:tcPr>
          <w:p>
            <w:r>
              <w:rPr>
                <w:sz w:val="15"/>
              </w:rPr>
              <w:t>Ordinal</w:t>
            </w:r>
          </w:p>
        </w:tc>
        <w:tc>
          <w:tcPr>
            <w:tcW w:type="dxa" w:w="2340"/>
            <w:vAlign w:val="center"/>
          </w:tcPr>
          <w:p>
            <w:r>
              <w:rPr>
                <w:sz w:val="15"/>
              </w:rPr>
              <w:t>Predictor</w:t>
            </w:r>
          </w:p>
        </w:tc>
      </w:tr>
      <w:tr>
        <w:tc>
          <w:tcPr>
            <w:tcW w:type="dxa" w:w="2340"/>
            <w:vAlign w:val="center"/>
          </w:tcPr>
          <w:p>
            <w:r>
              <w:rPr>
                <w:sz w:val="15"/>
              </w:rPr>
              <w:t>INSCOVY1</w:t>
            </w:r>
          </w:p>
        </w:tc>
        <w:tc>
          <w:tcPr>
            <w:tcW w:type="dxa" w:w="2340"/>
            <w:vAlign w:val="center"/>
          </w:tcPr>
          <w:p>
            <w:r>
              <w:rPr>
                <w:sz w:val="15"/>
              </w:rPr>
              <w:t>2022 insurance coverage</w:t>
            </w:r>
          </w:p>
        </w:tc>
        <w:tc>
          <w:tcPr>
            <w:tcW w:type="dxa" w:w="2340"/>
            <w:vAlign w:val="center"/>
          </w:tcPr>
          <w:p>
            <w:r>
              <w:rPr>
                <w:sz w:val="15"/>
              </w:rPr>
              <w:t>Categorical</w:t>
            </w:r>
          </w:p>
        </w:tc>
        <w:tc>
          <w:tcPr>
            <w:tcW w:type="dxa" w:w="2340"/>
            <w:vAlign w:val="center"/>
          </w:tcPr>
          <w:p>
            <w:r>
              <w:rPr>
                <w:sz w:val="15"/>
              </w:rPr>
              <w:t>Predictor</w:t>
            </w:r>
          </w:p>
        </w:tc>
      </w:tr>
      <w:tr>
        <w:tc>
          <w:tcPr>
            <w:tcW w:type="dxa" w:w="2340"/>
            <w:vAlign w:val="center"/>
          </w:tcPr>
          <w:p>
            <w:r>
              <w:rPr>
                <w:sz w:val="15"/>
              </w:rPr>
              <w:t>RTHLTH3</w:t>
            </w:r>
          </w:p>
        </w:tc>
        <w:tc>
          <w:tcPr>
            <w:tcW w:type="dxa" w:w="2340"/>
            <w:vAlign w:val="center"/>
          </w:tcPr>
          <w:p>
            <w:r>
              <w:rPr>
                <w:sz w:val="15"/>
              </w:rPr>
              <w:t>Self-reported general health</w:t>
            </w:r>
          </w:p>
        </w:tc>
        <w:tc>
          <w:tcPr>
            <w:tcW w:type="dxa" w:w="2340"/>
            <w:vAlign w:val="center"/>
          </w:tcPr>
          <w:p>
            <w:r>
              <w:rPr>
                <w:sz w:val="15"/>
              </w:rPr>
              <w:t>Ordinal</w:t>
            </w:r>
          </w:p>
        </w:tc>
        <w:tc>
          <w:tcPr>
            <w:tcW w:type="dxa" w:w="2340"/>
            <w:vAlign w:val="center"/>
          </w:tcPr>
          <w:p>
            <w:r>
              <w:rPr>
                <w:sz w:val="15"/>
              </w:rPr>
              <w:t>Predictor</w:t>
            </w:r>
          </w:p>
        </w:tc>
      </w:tr>
      <w:tr>
        <w:tc>
          <w:tcPr>
            <w:tcW w:type="dxa" w:w="2340"/>
            <w:vAlign w:val="center"/>
          </w:tcPr>
          <w:p>
            <w:r>
              <w:rPr>
                <w:sz w:val="15"/>
              </w:rPr>
              <w:t>MNHLTH3</w:t>
            </w:r>
          </w:p>
        </w:tc>
        <w:tc>
          <w:tcPr>
            <w:tcW w:type="dxa" w:w="2340"/>
            <w:vAlign w:val="center"/>
          </w:tcPr>
          <w:p>
            <w:r>
              <w:rPr>
                <w:sz w:val="15"/>
              </w:rPr>
              <w:t>Self-reported mental health</w:t>
            </w:r>
          </w:p>
        </w:tc>
        <w:tc>
          <w:tcPr>
            <w:tcW w:type="dxa" w:w="2340"/>
            <w:vAlign w:val="center"/>
          </w:tcPr>
          <w:p>
            <w:r>
              <w:rPr>
                <w:sz w:val="15"/>
              </w:rPr>
              <w:t>Ordinal</w:t>
            </w:r>
          </w:p>
        </w:tc>
        <w:tc>
          <w:tcPr>
            <w:tcW w:type="dxa" w:w="2340"/>
            <w:vAlign w:val="center"/>
          </w:tcPr>
          <w:p>
            <w:r>
              <w:rPr>
                <w:sz w:val="15"/>
              </w:rPr>
              <w:t>Predictor</w:t>
            </w:r>
          </w:p>
        </w:tc>
      </w:tr>
      <w:tr>
        <w:tc>
          <w:tcPr>
            <w:tcW w:type="dxa" w:w="2340"/>
            <w:vAlign w:val="center"/>
          </w:tcPr>
          <w:p>
            <w:r>
              <w:rPr>
                <w:sz w:val="15"/>
              </w:rPr>
              <w:t>ERTOTY1</w:t>
            </w:r>
          </w:p>
        </w:tc>
        <w:tc>
          <w:tcPr>
            <w:tcW w:type="dxa" w:w="2340"/>
            <w:vAlign w:val="center"/>
          </w:tcPr>
          <w:p>
            <w:r>
              <w:rPr>
                <w:sz w:val="15"/>
              </w:rPr>
              <w:t>2022 emergency visits</w:t>
            </w:r>
          </w:p>
        </w:tc>
        <w:tc>
          <w:tcPr>
            <w:tcW w:type="dxa" w:w="2340"/>
            <w:vAlign w:val="center"/>
          </w:tcPr>
          <w:p>
            <w:r>
              <w:rPr>
                <w:sz w:val="15"/>
              </w:rPr>
              <w:t>Count</w:t>
            </w:r>
          </w:p>
        </w:tc>
        <w:tc>
          <w:tcPr>
            <w:tcW w:type="dxa" w:w="2340"/>
            <w:vAlign w:val="center"/>
          </w:tcPr>
          <w:p>
            <w:r>
              <w:rPr>
                <w:sz w:val="15"/>
              </w:rPr>
              <w:t>Predictor</w:t>
            </w:r>
          </w:p>
        </w:tc>
      </w:tr>
      <w:tr>
        <w:tc>
          <w:tcPr>
            <w:tcW w:type="dxa" w:w="2340"/>
            <w:vAlign w:val="center"/>
          </w:tcPr>
          <w:p>
            <w:r>
              <w:rPr>
                <w:sz w:val="15"/>
              </w:rPr>
              <w:t>IPDISY1</w:t>
            </w:r>
          </w:p>
        </w:tc>
        <w:tc>
          <w:tcPr>
            <w:tcW w:type="dxa" w:w="2340"/>
            <w:vAlign w:val="center"/>
          </w:tcPr>
          <w:p>
            <w:r>
              <w:rPr>
                <w:sz w:val="15"/>
              </w:rPr>
              <w:t>2022 inpatient discharges</w:t>
            </w:r>
          </w:p>
        </w:tc>
        <w:tc>
          <w:tcPr>
            <w:tcW w:type="dxa" w:w="2340"/>
            <w:vAlign w:val="center"/>
          </w:tcPr>
          <w:p>
            <w:r>
              <w:rPr>
                <w:sz w:val="15"/>
              </w:rPr>
              <w:t>Count</w:t>
            </w:r>
          </w:p>
        </w:tc>
        <w:tc>
          <w:tcPr>
            <w:tcW w:type="dxa" w:w="2340"/>
            <w:vAlign w:val="center"/>
          </w:tcPr>
          <w:p>
            <w:r>
              <w:rPr>
                <w:sz w:val="15"/>
              </w:rPr>
              <w:t>Predictor</w:t>
            </w:r>
          </w:p>
        </w:tc>
      </w:tr>
      <w:tr>
        <w:tc>
          <w:tcPr>
            <w:tcW w:type="dxa" w:w="2340"/>
            <w:vAlign w:val="center"/>
          </w:tcPr>
          <w:p>
            <w:r>
              <w:rPr>
                <w:sz w:val="15"/>
              </w:rPr>
              <w:t>RXTOTY1</w:t>
            </w:r>
          </w:p>
        </w:tc>
        <w:tc>
          <w:tcPr>
            <w:tcW w:type="dxa" w:w="2340"/>
            <w:vAlign w:val="center"/>
          </w:tcPr>
          <w:p>
            <w:r>
              <w:rPr>
                <w:sz w:val="15"/>
              </w:rPr>
              <w:t>2022 prescription events</w:t>
            </w:r>
          </w:p>
        </w:tc>
        <w:tc>
          <w:tcPr>
            <w:tcW w:type="dxa" w:w="2340"/>
            <w:vAlign w:val="center"/>
          </w:tcPr>
          <w:p>
            <w:r>
              <w:rPr>
                <w:sz w:val="15"/>
              </w:rPr>
              <w:t>Count</w:t>
            </w:r>
          </w:p>
        </w:tc>
        <w:tc>
          <w:tcPr>
            <w:tcW w:type="dxa" w:w="2340"/>
            <w:vAlign w:val="center"/>
          </w:tcPr>
          <w:p>
            <w:r>
              <w:rPr>
                <w:sz w:val="15"/>
              </w:rPr>
              <w:t>Predictor</w:t>
            </w:r>
          </w:p>
        </w:tc>
      </w:tr>
      <w:tr>
        <w:tc>
          <w:tcPr>
            <w:tcW w:type="dxa" w:w="2340"/>
            <w:vAlign w:val="center"/>
          </w:tcPr>
          <w:p>
            <w:r>
              <w:rPr>
                <w:sz w:val="15"/>
              </w:rPr>
              <w:t>LONGWT</w:t>
            </w:r>
          </w:p>
        </w:tc>
        <w:tc>
          <w:tcPr>
            <w:tcW w:type="dxa" w:w="2340"/>
            <w:vAlign w:val="center"/>
          </w:tcPr>
          <w:p>
            <w:r>
              <w:rPr>
                <w:sz w:val="15"/>
              </w:rPr>
              <w:t>Longitudinal survey weight</w:t>
            </w:r>
          </w:p>
        </w:tc>
        <w:tc>
          <w:tcPr>
            <w:tcW w:type="dxa" w:w="2340"/>
            <w:vAlign w:val="center"/>
          </w:tcPr>
          <w:p>
            <w:r>
              <w:rPr>
                <w:sz w:val="15"/>
              </w:rPr>
              <w:t>Numeric</w:t>
            </w:r>
          </w:p>
        </w:tc>
        <w:tc>
          <w:tcPr>
            <w:tcW w:type="dxa" w:w="2340"/>
            <w:vAlign w:val="center"/>
          </w:tcPr>
          <w:p>
            <w:r>
              <w:rPr>
                <w:sz w:val="15"/>
              </w:rPr>
              <w:t>Estimation weight</w:t>
            </w:r>
          </w:p>
        </w:tc>
      </w:tr>
    </w:tbl>
    <w:p/>
    <w:p>
      <w:pPr>
        <w:pStyle w:val="Heading1"/>
      </w:pPr>
      <w:r>
        <w:t>Appendix B: Reproducibility and Deliverables</w:t>
      </w:r>
    </w:p>
    <w:p>
      <w:pPr>
        <w:pStyle w:val="ListBullet"/>
      </w:pPr>
      <w:r>
        <w:t>Original data file: h252.xlsx</w:t>
      </w:r>
    </w:p>
    <w:p>
      <w:pPr>
        <w:pStyle w:val="ListBullet"/>
      </w:pPr>
      <w:r>
        <w:t>Selected raw variables: h252_selected.csv</w:t>
      </w:r>
    </w:p>
    <w:p>
      <w:pPr>
        <w:pStyle w:val="ListBullet"/>
      </w:pPr>
      <w:r>
        <w:t>Clean analytic dataset: analytic_dataset.csv</w:t>
      </w:r>
    </w:p>
    <w:p>
      <w:pPr>
        <w:pStyle w:val="ListBullet"/>
      </w:pPr>
      <w:r>
        <w:t>Model performance: model_performance_all_splits.csv</w:t>
      </w:r>
    </w:p>
    <w:p>
      <w:pPr>
        <w:pStyle w:val="ListBullet"/>
      </w:pPr>
      <w:r>
        <w:t>Sealed validation results: sealed_validation_metrics.csv</w:t>
      </w:r>
    </w:p>
    <w:p>
      <w:pPr>
        <w:pStyle w:val="ListBullet"/>
      </w:pPr>
      <w:r>
        <w:t>Predictions: model_predictions_all_splits.csv and sealed_validation_predictions.csv</w:t>
      </w:r>
    </w:p>
    <w:p>
      <w:pPr>
        <w:pStyle w:val="ListBullet"/>
      </w:pPr>
      <w:r>
        <w:t>Feature importance, risk segmentation, stress tests, and publication-quality figures</w:t>
      </w:r>
    </w:p>
    <w:p>
      <w:pPr>
        <w:pStyle w:val="ListBullet"/>
      </w:pPr>
      <w:r>
        <w:t>Excel results workbook and full analysis package</w:t>
      </w:r>
    </w:p>
    <w:sectPr w:rsidR="00FC693F" w:rsidRPr="0006063C" w:rsidSect="00034616">
      <w:headerReference w:type="default" r:id="rId19"/>
      <w:footerReference w:type="default" r:id="rId20"/>
      <w:pgSz w:w="12240" w:h="15840"/>
      <w:pgMar w:top="1152" w:right="1440" w:bottom="1152"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t xml:space="preserve">Page </w:t>
      <w:fldChar w:fldCharType="begin"/>
      <w:instrText xml:space="preserve">PAGE</w:instrText>
      <w:fldChar w:fldCharType="end"/>
    </w: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jc w:val="center"/>
    </w:pPr>
    <w:r>
      <w:t>Predictive Analytics for Healthcare Cost Reduction</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line="480" w:lineRule="auto"/>
    </w:pPr>
    <w:rPr>
      <w:rFonts w:ascii="Times New Roman" w:hAnsi="Times New Roman"/>
      <w:sz w:val="22"/>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ascii="Times New Roman" w:hAnsi="Times New Roman"/>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ascii="Times New Roman" w:hAnsi="Times New Roman"/>
      <w:b/>
      <w:bCs/>
      <w:color w:val="4F81BD" w:themeColor="accent1"/>
      <w:sz w:val="24"/>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ascii="Times New Roman" w:hAnsi="Times New Roman"/>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ascii="Times New Roman" w:hAnsi="Times New Roman"/>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png"/><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header" Target="header1.xml"/><Relationship Id="rId2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Predictive Analytics for Healthcare Cost Reduction</dc:title>
  <dc:subject>MIS-690 Capstone Project Thesis</dc:subject>
  <dc:creator>Sara Seri</dc:creator>
  <cp:keywords>healthcare analytics, high-cost patients, machine learning, MEPS</cp:keywords>
  <dc:description>generated by python-docx</dc:description>
  <cp:lastModifiedBy/>
  <cp:revision>1</cp:revision>
  <dcterms:created xsi:type="dcterms:W3CDTF">2013-12-23T23:15:00Z</dcterms:created>
  <dcterms:modified xsi:type="dcterms:W3CDTF">2013-12-23T23:15:00Z</dcterms:modified>
  <cp:category/>
</cp:coreProperties>
</file>