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32"/>
        </w:rPr>
        <w:t>Using Predictive and Prescriptive Analytics to Predict Diabetes Risk and Improve Preventive Healthcare Resource Allocation</w:t>
      </w:r>
    </w:p>
    <w:p>
      <w:pPr>
        <w:jc w:val="center"/>
      </w:pPr>
      <w:r>
        <w:rPr>
          <w:b/>
        </w:rPr>
        <w:t>MIS-690 Capstone Project Thesis</w:t>
      </w:r>
    </w:p>
    <w:p>
      <w:pPr>
        <w:jc w:val="center"/>
      </w:pPr>
      <w:r>
        <w:t>Submitted to Grand Canyon University</w:t>
      </w:r>
    </w:p>
    <w:p>
      <w:pPr>
        <w:jc w:val="center"/>
      </w:pPr>
      <w:r>
        <w:t>Graduate Faculty of the Colangelo College of Business</w:t>
      </w:r>
    </w:p>
    <w:p>
      <w:pPr>
        <w:jc w:val="center"/>
      </w:pPr>
      <w:r>
        <w:t>in Partial Fulfillment of the Requirements for the Degree of</w:t>
      </w:r>
    </w:p>
    <w:p>
      <w:pPr>
        <w:jc w:val="center"/>
      </w:pPr>
      <w:r>
        <w:t>Master of Science in Business Analytics</w:t>
      </w:r>
    </w:p>
    <w:p>
      <w:pPr>
        <w:jc w:val="center"/>
      </w:pPr>
    </w:p>
    <w:p>
      <w:pPr>
        <w:jc w:val="center"/>
      </w:pPr>
      <w:r>
        <w:rPr>
          <w:b/>
        </w:rPr>
        <w:t>by</w:t>
      </w:r>
    </w:p>
    <w:p>
      <w:pPr>
        <w:jc w:val="center"/>
      </w:pPr>
      <w:r>
        <w:rPr>
          <w:b/>
        </w:rPr>
        <w:t>Sara Seri</w:t>
      </w:r>
    </w:p>
    <w:p>
      <w:pPr>
        <w:jc w:val="center"/>
      </w:pPr>
      <w:r>
        <w:t>Phoenix, Arizona</w:t>
      </w:r>
    </w:p>
    <w:p>
      <w:pPr>
        <w:jc w:val="center"/>
      </w:pPr>
      <w:r>
        <w:t>June 23, 2026</w:t>
      </w:r>
    </w:p>
    <w:p>
      <w:r>
        <w:br w:type="page"/>
      </w:r>
    </w:p>
    <w:p>
      <w:pPr>
        <w:pStyle w:val="Heading1"/>
      </w:pPr>
      <w:r>
        <w:t>Abstract</w:t>
      </w:r>
    </w:p>
    <w:p>
      <w:pPr>
        <w:ind w:firstLine="0"/>
      </w:pPr>
      <w:r>
        <w:t>This capstone project developed predictive analytics models to identify individuals at elevated risk for diabetes using the CDC BRFSS 2015 Diabetes Health Indicators dataset. The business problem addressed in this study is the difficulty healthcare organizations face in identifying high-risk individuals early enough to support preventive care, screening, and resource allocation. The analysis used demographic, clinical, behavioral, healthcare-access, and self-reported health variables to predict binary diabetes status. Descriptive analysis showed that the full dataset contained 253,680 observations, with diabetes present in 13.93% of respondents. For model development, the balanced 50/50 dataset was used to reduce class imbalance and improve model comparison. Logistic Regression, Decision Tree, Random Forest, and Gradient Boosting models were trained and evaluated using accuracy, precision, recall, F1-score, and ROC-AUC. Gradient Boosting achieved the strongest ROC-AUC (0.8287), while Random Forest produced similar performance (ROC-AUC = 0.8261) and provided clear feature importance rankings. The most important predictors were general health, high blood pressure, BMI, high cholesterol, age, and difficulty walking. The findings suggest that predictive analytics can help healthcare organizations identify high-risk patients earlier and prioritize preventive interventions more effectively.</w:t>
      </w:r>
    </w:p>
    <w:p>
      <w:r>
        <w:t>Keywords: diabetes prediction, BRFSS, predictive analytics, healthcare analytics, Random Forest, Gradient Boosting, preventive care</w:t>
      </w:r>
    </w:p>
    <w:p>
      <w:r>
        <w:br w:type="page"/>
      </w:r>
    </w:p>
    <w:p>
      <w:pPr>
        <w:pStyle w:val="Heading1"/>
      </w:pPr>
      <w:r>
        <w:t>List of Tables</w:t>
      </w:r>
    </w:p>
    <w:p>
      <w:r>
        <w:t>Table 1. Dataset Summary</w:t>
      </w:r>
    </w:p>
    <w:p>
      <w:r>
        <w:t>Table 2. Variable Classification</w:t>
      </w:r>
    </w:p>
    <w:p>
      <w:r>
        <w:t>Table 3. Descriptive Statistics</w:t>
      </w:r>
    </w:p>
    <w:p>
      <w:r>
        <w:t>Table 4. Diabetes Distribution</w:t>
      </w:r>
    </w:p>
    <w:p>
      <w:r>
        <w:t>Table 5. Model Performance Comparison</w:t>
      </w:r>
    </w:p>
    <w:p>
      <w:r>
        <w:t>Table 6. Top Predictors of Diabetes</w:t>
      </w:r>
    </w:p>
    <w:p>
      <w:r>
        <w:t>Table 7. Risk Segmentation Results</w:t>
      </w:r>
    </w:p>
    <w:p>
      <w:pPr>
        <w:pStyle w:val="Heading1"/>
      </w:pPr>
      <w:r>
        <w:t>List of Figures</w:t>
      </w:r>
    </w:p>
    <w:p>
      <w:r>
        <w:t>Figure 1. Diabetes Status Distribution</w:t>
      </w:r>
    </w:p>
    <w:p>
      <w:r>
        <w:t>Figure 2. BMI Distribution by Diabetes Status</w:t>
      </w:r>
    </w:p>
    <w:p>
      <w:r>
        <w:t>Figure 3. Diabetes Prevalence by Age Category</w:t>
      </w:r>
    </w:p>
    <w:p>
      <w:r>
        <w:t>Figure 4. Correlation Heatmap</w:t>
      </w:r>
    </w:p>
    <w:p>
      <w:r>
        <w:t>Figure 5. Random Forest Feature Importance</w:t>
      </w:r>
    </w:p>
    <w:p>
      <w:r>
        <w:t>Figure 6. ROC Curve Comparison</w:t>
      </w:r>
    </w:p>
    <w:p>
      <w:r>
        <w:t>Figure 7. Risk Segmentation by Predicted Probability</w:t>
      </w:r>
    </w:p>
    <w:p>
      <w:r>
        <w:br w:type="page"/>
      </w:r>
    </w:p>
    <w:p>
      <w:pPr>
        <w:pStyle w:val="Heading1"/>
      </w:pPr>
      <w:r>
        <w:t>Business Problem Identification</w:t>
      </w:r>
    </w:p>
    <w:p>
      <w:r>
        <w:t>Healthcare organizations and public-health agencies face ongoing challenges in identifying individuals at elevated risk for diabetes before serious complications occur. Diabetes is associated with increased healthcare utilization, preventable hospitalizations, reduced quality of life, and long-term costs. Many individuals are not identified as high risk until after symptoms become more serious, which limits opportunities for early intervention. This project uses predictive analytics to support earlier identification of high-risk individuals and improve preventive healthcare resource allocation.</w:t>
      </w:r>
    </w:p>
    <w:p>
      <w:pPr>
        <w:pStyle w:val="Heading2"/>
      </w:pPr>
      <w:r>
        <w:t>Background</w:t>
      </w:r>
    </w:p>
    <w:p>
      <w:r>
        <w:t>The Behavioral Risk Factor Surveillance System (BRFSS) is a large public-health survey used to collect information about chronic disease, health behaviors, healthcare access, and demographic characteristics. The diabetes health indicators dataset used in this project was derived from BRFSS data and contains health-related predictors that can support diabetes risk modeling. The project aligns with the healthcare need to move from reactive treatment to proactive prevention by using data to identify risk patterns before costly complications occur.</w:t>
      </w:r>
    </w:p>
    <w:p>
      <w:pPr>
        <w:pStyle w:val="Heading2"/>
      </w:pPr>
      <w:r>
        <w:t>Business Problem Statement</w:t>
      </w:r>
    </w:p>
    <w:p>
      <w:r>
        <w:t>Healthcare organizations need a data-driven method to identify individuals at elevated risk for diabetes using readily available demographic, behavioral, and health-status indicators. Without predictive analytics, preventive programs may be less targeted, limited resources may be inefficiently allocated, and high-risk individuals may be missed until complications develop.</w:t>
      </w:r>
    </w:p>
    <w:p>
      <w:pPr>
        <w:pStyle w:val="Heading2"/>
      </w:pPr>
      <w:r>
        <w:t>Analytics Problem Statement</w:t>
      </w:r>
    </w:p>
    <w:p>
      <w:r>
        <w:t>The analytics objective was to develop classification models that predict diabetes status using health indicators from the BRFSS diabetes dataset. The target variable was Diabetes_binary, where 1 indicates diabetes and 0 indicates no diabetes. Models were evaluated using accuracy, precision, recall, F1-score, and ROC-AUC. The results were used to identify the strongest predictors and recommend how healthcare organizations could use the model for preventive outreach and resource planning.</w:t>
      </w:r>
    </w:p>
    <w:p>
      <w:pPr>
        <w:pStyle w:val="Heading1"/>
      </w:pPr>
      <w:r>
        <w:t>Data Understanding, Acquisition, and Preprocessing</w:t>
      </w:r>
    </w:p>
    <w:p>
      <w:r>
        <w:t>The project used the Diabetes Health Indicators dataset from Kaggle, derived from CDC BRFSS 2015 survey data. The full binary dataset contains 253,680 observations and 22 variables, including one target variable and 21 predictors. A balanced 50/50 dataset containing 70,692 records was used for modeling to reduce class imbalance and provide a fairer comparison between diabetic and non-diabetic observations.</w:t>
      </w:r>
    </w:p>
    <w:p>
      <w:r>
        <w:rPr>
          <w:b/>
        </w:rPr>
        <w:t>Table 1. Dataset Summary</w:t>
      </w:r>
    </w:p>
    <w:tbl>
      <w:tblPr>
        <w:tblStyle w:val="TableGrid"/>
        <w:tblW w:type="auto" w:w="0"/>
        <w:jc w:val="center"/>
        <w:tblLook w:firstColumn="1" w:firstRow="1" w:lastColumn="0" w:lastRow="0" w:noHBand="0" w:noVBand="1" w:val="04A0"/>
      </w:tblPr>
      <w:tblGrid>
        <w:gridCol w:w="4680"/>
        <w:gridCol w:w="4680"/>
      </w:tblGrid>
      <w:tr>
        <w:tc>
          <w:tcPr>
            <w:tcW w:type="dxa" w:w="4680"/>
            <w:shd w:fill="1F4E79"/>
            <w:vAlign w:val="center"/>
          </w:tcPr>
          <w:p>
            <w:r>
              <w:rPr>
                <w:color w:val="FFFFFF"/>
              </w:rPr>
              <w:t>Metric</w:t>
            </w:r>
          </w:p>
        </w:tc>
        <w:tc>
          <w:tcPr>
            <w:tcW w:type="dxa" w:w="4680"/>
            <w:shd w:fill="1F4E79"/>
            <w:vAlign w:val="center"/>
          </w:tcPr>
          <w:p>
            <w:r>
              <w:rPr>
                <w:color w:val="FFFFFF"/>
              </w:rPr>
              <w:t>Value</w:t>
            </w:r>
          </w:p>
        </w:tc>
      </w:tr>
      <w:tr>
        <w:tc>
          <w:tcPr>
            <w:tcW w:type="dxa" w:w="4680"/>
            <w:vAlign w:val="center"/>
          </w:tcPr>
          <w:p>
            <w:r>
              <w:t>Full dataset records</w:t>
            </w:r>
          </w:p>
        </w:tc>
        <w:tc>
          <w:tcPr>
            <w:tcW w:type="dxa" w:w="4680"/>
            <w:vAlign w:val="center"/>
          </w:tcPr>
          <w:p>
            <w:r>
              <w:t>253680</w:t>
            </w:r>
          </w:p>
        </w:tc>
      </w:tr>
      <w:tr>
        <w:tc>
          <w:tcPr>
            <w:tcW w:type="dxa" w:w="4680"/>
            <w:vAlign w:val="center"/>
          </w:tcPr>
          <w:p>
            <w:r>
              <w:t>Balanced modeling records</w:t>
            </w:r>
          </w:p>
        </w:tc>
        <w:tc>
          <w:tcPr>
            <w:tcW w:type="dxa" w:w="4680"/>
            <w:vAlign w:val="center"/>
          </w:tcPr>
          <w:p>
            <w:r>
              <w:t>70692</w:t>
            </w:r>
          </w:p>
        </w:tc>
      </w:tr>
      <w:tr>
        <w:tc>
          <w:tcPr>
            <w:tcW w:type="dxa" w:w="4680"/>
            <w:vAlign w:val="center"/>
          </w:tcPr>
          <w:p>
            <w:r>
              <w:t>Total variables</w:t>
            </w:r>
          </w:p>
        </w:tc>
        <w:tc>
          <w:tcPr>
            <w:tcW w:type="dxa" w:w="4680"/>
            <w:vAlign w:val="center"/>
          </w:tcPr>
          <w:p>
            <w:r>
              <w:t>22</w:t>
            </w:r>
          </w:p>
        </w:tc>
      </w:tr>
      <w:tr>
        <w:tc>
          <w:tcPr>
            <w:tcW w:type="dxa" w:w="4680"/>
            <w:vAlign w:val="center"/>
          </w:tcPr>
          <w:p>
            <w:r>
              <w:t>Predictor variables</w:t>
            </w:r>
          </w:p>
        </w:tc>
        <w:tc>
          <w:tcPr>
            <w:tcW w:type="dxa" w:w="4680"/>
            <w:vAlign w:val="center"/>
          </w:tcPr>
          <w:p>
            <w:r>
              <w:t>21</w:t>
            </w:r>
          </w:p>
        </w:tc>
      </w:tr>
      <w:tr>
        <w:tc>
          <w:tcPr>
            <w:tcW w:type="dxa" w:w="4680"/>
            <w:vAlign w:val="center"/>
          </w:tcPr>
          <w:p>
            <w:r>
              <w:t>Target variable</w:t>
            </w:r>
          </w:p>
        </w:tc>
        <w:tc>
          <w:tcPr>
            <w:tcW w:type="dxa" w:w="4680"/>
            <w:vAlign w:val="center"/>
          </w:tcPr>
          <w:p>
            <w:r>
              <w:t>Diabetes_binary</w:t>
            </w:r>
          </w:p>
        </w:tc>
      </w:tr>
      <w:tr>
        <w:tc>
          <w:tcPr>
            <w:tcW w:type="dxa" w:w="4680"/>
            <w:vAlign w:val="center"/>
          </w:tcPr>
          <w:p>
            <w:r>
              <w:t>Full no diabetes count</w:t>
            </w:r>
          </w:p>
        </w:tc>
        <w:tc>
          <w:tcPr>
            <w:tcW w:type="dxa" w:w="4680"/>
            <w:vAlign w:val="center"/>
          </w:tcPr>
          <w:p>
            <w:r>
              <w:t>218334</w:t>
            </w:r>
          </w:p>
        </w:tc>
      </w:tr>
      <w:tr>
        <w:tc>
          <w:tcPr>
            <w:tcW w:type="dxa" w:w="4680"/>
            <w:vAlign w:val="center"/>
          </w:tcPr>
          <w:p>
            <w:r>
              <w:t>Full diabetes count</w:t>
            </w:r>
          </w:p>
        </w:tc>
        <w:tc>
          <w:tcPr>
            <w:tcW w:type="dxa" w:w="4680"/>
            <w:vAlign w:val="center"/>
          </w:tcPr>
          <w:p>
            <w:r>
              <w:t>35346</w:t>
            </w:r>
          </w:p>
        </w:tc>
      </w:tr>
      <w:tr>
        <w:tc>
          <w:tcPr>
            <w:tcW w:type="dxa" w:w="4680"/>
            <w:vAlign w:val="center"/>
          </w:tcPr>
          <w:p>
            <w:r>
              <w:t>Full no diabetes percent</w:t>
            </w:r>
          </w:p>
        </w:tc>
        <w:tc>
          <w:tcPr>
            <w:tcW w:type="dxa" w:w="4680"/>
            <w:vAlign w:val="center"/>
          </w:tcPr>
          <w:p>
            <w:r>
              <w:t>86.07%</w:t>
            </w:r>
          </w:p>
        </w:tc>
      </w:tr>
      <w:tr>
        <w:tc>
          <w:tcPr>
            <w:tcW w:type="dxa" w:w="4680"/>
            <w:vAlign w:val="center"/>
          </w:tcPr>
          <w:p>
            <w:r>
              <w:t>Full diabetes percent</w:t>
            </w:r>
          </w:p>
        </w:tc>
        <w:tc>
          <w:tcPr>
            <w:tcW w:type="dxa" w:w="4680"/>
            <w:vAlign w:val="center"/>
          </w:tcPr>
          <w:p>
            <w:r>
              <w:t>13.93%</w:t>
            </w:r>
          </w:p>
        </w:tc>
      </w:tr>
      <w:tr>
        <w:tc>
          <w:tcPr>
            <w:tcW w:type="dxa" w:w="4680"/>
            <w:vAlign w:val="center"/>
          </w:tcPr>
          <w:p>
            <w:r>
              <w:t>Missing values total</w:t>
            </w:r>
          </w:p>
        </w:tc>
        <w:tc>
          <w:tcPr>
            <w:tcW w:type="dxa" w:w="4680"/>
            <w:vAlign w:val="center"/>
          </w:tcPr>
          <w:p>
            <w:r>
              <w:t>0</w:t>
            </w:r>
          </w:p>
        </w:tc>
      </w:tr>
    </w:tbl>
    <w:p/>
    <w:p>
      <w:r>
        <w:rPr>
          <w:b/>
        </w:rPr>
        <w:t>Table 2. Variable Classification</w:t>
      </w:r>
    </w:p>
    <w:tbl>
      <w:tblPr>
        <w:tblStyle w:val="TableGrid"/>
        <w:tblW w:type="auto" w:w="0"/>
        <w:jc w:val="center"/>
        <w:tblLook w:firstColumn="1" w:firstRow="1" w:lastColumn="0" w:lastRow="0" w:noHBand="0" w:noVBand="1" w:val="04A0"/>
      </w:tblPr>
      <w:tblGrid>
        <w:gridCol w:w="3120"/>
        <w:gridCol w:w="3120"/>
        <w:gridCol w:w="3120"/>
      </w:tblGrid>
      <w:tr>
        <w:tc>
          <w:tcPr>
            <w:tcW w:type="dxa" w:w="3120"/>
            <w:shd w:fill="1F4E79"/>
            <w:vAlign w:val="center"/>
          </w:tcPr>
          <w:p>
            <w:r>
              <w:rPr>
                <w:color w:val="FFFFFF"/>
              </w:rPr>
              <w:t>Variable</w:t>
            </w:r>
          </w:p>
        </w:tc>
        <w:tc>
          <w:tcPr>
            <w:tcW w:type="dxa" w:w="3120"/>
            <w:shd w:fill="1F4E79"/>
            <w:vAlign w:val="center"/>
          </w:tcPr>
          <w:p>
            <w:r>
              <w:rPr>
                <w:color w:val="FFFFFF"/>
              </w:rPr>
              <w:t>Description</w:t>
            </w:r>
          </w:p>
        </w:tc>
        <w:tc>
          <w:tcPr>
            <w:tcW w:type="dxa" w:w="3120"/>
            <w:shd w:fill="1F4E79"/>
            <w:vAlign w:val="center"/>
          </w:tcPr>
          <w:p>
            <w:r>
              <w:rPr>
                <w:color w:val="FFFFFF"/>
              </w:rPr>
              <w:t>Type</w:t>
            </w:r>
          </w:p>
        </w:tc>
      </w:tr>
      <w:tr>
        <w:tc>
          <w:tcPr>
            <w:tcW w:type="dxa" w:w="3120"/>
            <w:vAlign w:val="center"/>
          </w:tcPr>
          <w:p>
            <w:r>
              <w:t>HighBP</w:t>
            </w:r>
          </w:p>
        </w:tc>
        <w:tc>
          <w:tcPr>
            <w:tcW w:type="dxa" w:w="3120"/>
            <w:vAlign w:val="center"/>
          </w:tcPr>
          <w:p>
            <w:r>
              <w:t>High blood pressure indicator</w:t>
            </w:r>
          </w:p>
        </w:tc>
        <w:tc>
          <w:tcPr>
            <w:tcW w:type="dxa" w:w="3120"/>
            <w:vAlign w:val="center"/>
          </w:tcPr>
          <w:p>
            <w:r>
              <w:t>Binary</w:t>
            </w:r>
          </w:p>
        </w:tc>
      </w:tr>
      <w:tr>
        <w:tc>
          <w:tcPr>
            <w:tcW w:type="dxa" w:w="3120"/>
            <w:vAlign w:val="center"/>
          </w:tcPr>
          <w:p>
            <w:r>
              <w:t>HighChol</w:t>
            </w:r>
          </w:p>
        </w:tc>
        <w:tc>
          <w:tcPr>
            <w:tcW w:type="dxa" w:w="3120"/>
            <w:vAlign w:val="center"/>
          </w:tcPr>
          <w:p>
            <w:r>
              <w:t>High cholesterol indicator</w:t>
            </w:r>
          </w:p>
        </w:tc>
        <w:tc>
          <w:tcPr>
            <w:tcW w:type="dxa" w:w="3120"/>
            <w:vAlign w:val="center"/>
          </w:tcPr>
          <w:p>
            <w:r>
              <w:t>Binary</w:t>
            </w:r>
          </w:p>
        </w:tc>
      </w:tr>
      <w:tr>
        <w:tc>
          <w:tcPr>
            <w:tcW w:type="dxa" w:w="3120"/>
            <w:vAlign w:val="center"/>
          </w:tcPr>
          <w:p>
            <w:r>
              <w:t>CholCheck</w:t>
            </w:r>
          </w:p>
        </w:tc>
        <w:tc>
          <w:tcPr>
            <w:tcW w:type="dxa" w:w="3120"/>
            <w:vAlign w:val="center"/>
          </w:tcPr>
          <w:p>
            <w:r>
              <w:t>Cholesterol check within past five years</w:t>
            </w:r>
          </w:p>
        </w:tc>
        <w:tc>
          <w:tcPr>
            <w:tcW w:type="dxa" w:w="3120"/>
            <w:vAlign w:val="center"/>
          </w:tcPr>
          <w:p>
            <w:r>
              <w:t>Binary</w:t>
            </w:r>
          </w:p>
        </w:tc>
      </w:tr>
      <w:tr>
        <w:tc>
          <w:tcPr>
            <w:tcW w:type="dxa" w:w="3120"/>
            <w:vAlign w:val="center"/>
          </w:tcPr>
          <w:p>
            <w:r>
              <w:t>BMI</w:t>
            </w:r>
          </w:p>
        </w:tc>
        <w:tc>
          <w:tcPr>
            <w:tcW w:type="dxa" w:w="3120"/>
            <w:vAlign w:val="center"/>
          </w:tcPr>
          <w:p>
            <w:r>
              <w:t>Body mass index</w:t>
            </w:r>
          </w:p>
        </w:tc>
        <w:tc>
          <w:tcPr>
            <w:tcW w:type="dxa" w:w="3120"/>
            <w:vAlign w:val="center"/>
          </w:tcPr>
          <w:p>
            <w:r>
              <w:t>Numeric/Ordinal</w:t>
            </w:r>
          </w:p>
        </w:tc>
      </w:tr>
      <w:tr>
        <w:tc>
          <w:tcPr>
            <w:tcW w:type="dxa" w:w="3120"/>
            <w:vAlign w:val="center"/>
          </w:tcPr>
          <w:p>
            <w:r>
              <w:t>Smoker</w:t>
            </w:r>
          </w:p>
        </w:tc>
        <w:tc>
          <w:tcPr>
            <w:tcW w:type="dxa" w:w="3120"/>
            <w:vAlign w:val="center"/>
          </w:tcPr>
          <w:p>
            <w:r>
              <w:t>Smoked at least 100 cigarettes in lifetime</w:t>
            </w:r>
          </w:p>
        </w:tc>
        <w:tc>
          <w:tcPr>
            <w:tcW w:type="dxa" w:w="3120"/>
            <w:vAlign w:val="center"/>
          </w:tcPr>
          <w:p>
            <w:r>
              <w:t>Binary</w:t>
            </w:r>
          </w:p>
        </w:tc>
      </w:tr>
      <w:tr>
        <w:tc>
          <w:tcPr>
            <w:tcW w:type="dxa" w:w="3120"/>
            <w:vAlign w:val="center"/>
          </w:tcPr>
          <w:p>
            <w:r>
              <w:t>Stroke</w:t>
            </w:r>
          </w:p>
        </w:tc>
        <w:tc>
          <w:tcPr>
            <w:tcW w:type="dxa" w:w="3120"/>
            <w:vAlign w:val="center"/>
          </w:tcPr>
          <w:p>
            <w:r>
              <w:t>History of stroke</w:t>
            </w:r>
          </w:p>
        </w:tc>
        <w:tc>
          <w:tcPr>
            <w:tcW w:type="dxa" w:w="3120"/>
            <w:vAlign w:val="center"/>
          </w:tcPr>
          <w:p>
            <w:r>
              <w:t>Binary</w:t>
            </w:r>
          </w:p>
        </w:tc>
      </w:tr>
      <w:tr>
        <w:tc>
          <w:tcPr>
            <w:tcW w:type="dxa" w:w="3120"/>
            <w:vAlign w:val="center"/>
          </w:tcPr>
          <w:p>
            <w:r>
              <w:t>HeartDiseaseorAttack</w:t>
            </w:r>
          </w:p>
        </w:tc>
        <w:tc>
          <w:tcPr>
            <w:tcW w:type="dxa" w:w="3120"/>
            <w:vAlign w:val="center"/>
          </w:tcPr>
          <w:p>
            <w:r>
              <w:t>History of coronary heart disease or myocardial infarction</w:t>
            </w:r>
          </w:p>
        </w:tc>
        <w:tc>
          <w:tcPr>
            <w:tcW w:type="dxa" w:w="3120"/>
            <w:vAlign w:val="center"/>
          </w:tcPr>
          <w:p>
            <w:r>
              <w:t>Binary</w:t>
            </w:r>
          </w:p>
        </w:tc>
      </w:tr>
      <w:tr>
        <w:tc>
          <w:tcPr>
            <w:tcW w:type="dxa" w:w="3120"/>
            <w:vAlign w:val="center"/>
          </w:tcPr>
          <w:p>
            <w:r>
              <w:t>PhysActivity</w:t>
            </w:r>
          </w:p>
        </w:tc>
        <w:tc>
          <w:tcPr>
            <w:tcW w:type="dxa" w:w="3120"/>
            <w:vAlign w:val="center"/>
          </w:tcPr>
          <w:p>
            <w:r>
              <w:t>Physical activity in past 30 days</w:t>
            </w:r>
          </w:p>
        </w:tc>
        <w:tc>
          <w:tcPr>
            <w:tcW w:type="dxa" w:w="3120"/>
            <w:vAlign w:val="center"/>
          </w:tcPr>
          <w:p>
            <w:r>
              <w:t>Binary</w:t>
            </w:r>
          </w:p>
        </w:tc>
      </w:tr>
      <w:tr>
        <w:tc>
          <w:tcPr>
            <w:tcW w:type="dxa" w:w="3120"/>
            <w:vAlign w:val="center"/>
          </w:tcPr>
          <w:p>
            <w:r>
              <w:t>Fruits</w:t>
            </w:r>
          </w:p>
        </w:tc>
        <w:tc>
          <w:tcPr>
            <w:tcW w:type="dxa" w:w="3120"/>
            <w:vAlign w:val="center"/>
          </w:tcPr>
          <w:p>
            <w:r>
              <w:t>Consumes fruit at least once daily</w:t>
            </w:r>
          </w:p>
        </w:tc>
        <w:tc>
          <w:tcPr>
            <w:tcW w:type="dxa" w:w="3120"/>
            <w:vAlign w:val="center"/>
          </w:tcPr>
          <w:p>
            <w:r>
              <w:t>Binary</w:t>
            </w:r>
          </w:p>
        </w:tc>
      </w:tr>
      <w:tr>
        <w:tc>
          <w:tcPr>
            <w:tcW w:type="dxa" w:w="3120"/>
            <w:vAlign w:val="center"/>
          </w:tcPr>
          <w:p>
            <w:r>
              <w:t>Veggies</w:t>
            </w:r>
          </w:p>
        </w:tc>
        <w:tc>
          <w:tcPr>
            <w:tcW w:type="dxa" w:w="3120"/>
            <w:vAlign w:val="center"/>
          </w:tcPr>
          <w:p>
            <w:r>
              <w:t>Consumes vegetables at least once daily</w:t>
            </w:r>
          </w:p>
        </w:tc>
        <w:tc>
          <w:tcPr>
            <w:tcW w:type="dxa" w:w="3120"/>
            <w:vAlign w:val="center"/>
          </w:tcPr>
          <w:p>
            <w:r>
              <w:t>Binary</w:t>
            </w:r>
          </w:p>
        </w:tc>
      </w:tr>
      <w:tr>
        <w:tc>
          <w:tcPr>
            <w:tcW w:type="dxa" w:w="3120"/>
            <w:vAlign w:val="center"/>
          </w:tcPr>
          <w:p>
            <w:r>
              <w:t>HvyAlcoholConsump</w:t>
            </w:r>
          </w:p>
        </w:tc>
        <w:tc>
          <w:tcPr>
            <w:tcW w:type="dxa" w:w="3120"/>
            <w:vAlign w:val="center"/>
          </w:tcPr>
          <w:p>
            <w:r>
              <w:t>Heavy alcohol consumption indicator</w:t>
            </w:r>
          </w:p>
        </w:tc>
        <w:tc>
          <w:tcPr>
            <w:tcW w:type="dxa" w:w="3120"/>
            <w:vAlign w:val="center"/>
          </w:tcPr>
          <w:p>
            <w:r>
              <w:t>Binary</w:t>
            </w:r>
          </w:p>
        </w:tc>
      </w:tr>
      <w:tr>
        <w:tc>
          <w:tcPr>
            <w:tcW w:type="dxa" w:w="3120"/>
            <w:vAlign w:val="center"/>
          </w:tcPr>
          <w:p>
            <w:r>
              <w:t>AnyHealthcare</w:t>
            </w:r>
          </w:p>
        </w:tc>
        <w:tc>
          <w:tcPr>
            <w:tcW w:type="dxa" w:w="3120"/>
            <w:vAlign w:val="center"/>
          </w:tcPr>
          <w:p>
            <w:r>
              <w:t>Has healthcare coverage</w:t>
            </w:r>
          </w:p>
        </w:tc>
        <w:tc>
          <w:tcPr>
            <w:tcW w:type="dxa" w:w="3120"/>
            <w:vAlign w:val="center"/>
          </w:tcPr>
          <w:p>
            <w:r>
              <w:t>Binary</w:t>
            </w:r>
          </w:p>
        </w:tc>
      </w:tr>
      <w:tr>
        <w:tc>
          <w:tcPr>
            <w:tcW w:type="dxa" w:w="3120"/>
            <w:vAlign w:val="center"/>
          </w:tcPr>
          <w:p>
            <w:r>
              <w:t>NoDocbcCost</w:t>
            </w:r>
          </w:p>
        </w:tc>
        <w:tc>
          <w:tcPr>
            <w:tcW w:type="dxa" w:w="3120"/>
            <w:vAlign w:val="center"/>
          </w:tcPr>
          <w:p>
            <w:r>
              <w:t>Could not see doctor due to cost</w:t>
            </w:r>
          </w:p>
        </w:tc>
        <w:tc>
          <w:tcPr>
            <w:tcW w:type="dxa" w:w="3120"/>
            <w:vAlign w:val="center"/>
          </w:tcPr>
          <w:p>
            <w:r>
              <w:t>Binary</w:t>
            </w:r>
          </w:p>
        </w:tc>
      </w:tr>
      <w:tr>
        <w:tc>
          <w:tcPr>
            <w:tcW w:type="dxa" w:w="3120"/>
            <w:vAlign w:val="center"/>
          </w:tcPr>
          <w:p>
            <w:r>
              <w:t>GenHlth</w:t>
            </w:r>
          </w:p>
        </w:tc>
        <w:tc>
          <w:tcPr>
            <w:tcW w:type="dxa" w:w="3120"/>
            <w:vAlign w:val="center"/>
          </w:tcPr>
          <w:p>
            <w:r>
              <w:t>Self-rated general health scale</w:t>
            </w:r>
          </w:p>
        </w:tc>
        <w:tc>
          <w:tcPr>
            <w:tcW w:type="dxa" w:w="3120"/>
            <w:vAlign w:val="center"/>
          </w:tcPr>
          <w:p>
            <w:r>
              <w:t>Numeric/Ordinal</w:t>
            </w:r>
          </w:p>
        </w:tc>
      </w:tr>
      <w:tr>
        <w:tc>
          <w:tcPr>
            <w:tcW w:type="dxa" w:w="3120"/>
            <w:vAlign w:val="center"/>
          </w:tcPr>
          <w:p>
            <w:r>
              <w:t>MentHlth</w:t>
            </w:r>
          </w:p>
        </w:tc>
        <w:tc>
          <w:tcPr>
            <w:tcW w:type="dxa" w:w="3120"/>
            <w:vAlign w:val="center"/>
          </w:tcPr>
          <w:p>
            <w:r>
              <w:t>Poor mental health days in past 30 days</w:t>
            </w:r>
          </w:p>
        </w:tc>
        <w:tc>
          <w:tcPr>
            <w:tcW w:type="dxa" w:w="3120"/>
            <w:vAlign w:val="center"/>
          </w:tcPr>
          <w:p>
            <w:r>
              <w:t>Numeric/Ordinal</w:t>
            </w:r>
          </w:p>
        </w:tc>
      </w:tr>
      <w:tr>
        <w:tc>
          <w:tcPr>
            <w:tcW w:type="dxa" w:w="3120"/>
            <w:vAlign w:val="center"/>
          </w:tcPr>
          <w:p>
            <w:r>
              <w:t>PhysHlth</w:t>
            </w:r>
          </w:p>
        </w:tc>
        <w:tc>
          <w:tcPr>
            <w:tcW w:type="dxa" w:w="3120"/>
            <w:vAlign w:val="center"/>
          </w:tcPr>
          <w:p>
            <w:r>
              <w:t>Poor physical health days in past 30 days</w:t>
            </w:r>
          </w:p>
        </w:tc>
        <w:tc>
          <w:tcPr>
            <w:tcW w:type="dxa" w:w="3120"/>
            <w:vAlign w:val="center"/>
          </w:tcPr>
          <w:p>
            <w:r>
              <w:t>Numeric/Ordinal</w:t>
            </w:r>
          </w:p>
        </w:tc>
      </w:tr>
      <w:tr>
        <w:tc>
          <w:tcPr>
            <w:tcW w:type="dxa" w:w="3120"/>
            <w:vAlign w:val="center"/>
          </w:tcPr>
          <w:p>
            <w:r>
              <w:t>DiffWalk</w:t>
            </w:r>
          </w:p>
        </w:tc>
        <w:tc>
          <w:tcPr>
            <w:tcW w:type="dxa" w:w="3120"/>
            <w:vAlign w:val="center"/>
          </w:tcPr>
          <w:p>
            <w:r>
              <w:t>Difficulty walking or climbing stairs</w:t>
            </w:r>
          </w:p>
        </w:tc>
        <w:tc>
          <w:tcPr>
            <w:tcW w:type="dxa" w:w="3120"/>
            <w:vAlign w:val="center"/>
          </w:tcPr>
          <w:p>
            <w:r>
              <w:t>Binary</w:t>
            </w:r>
          </w:p>
        </w:tc>
      </w:tr>
      <w:tr>
        <w:tc>
          <w:tcPr>
            <w:tcW w:type="dxa" w:w="3120"/>
            <w:vAlign w:val="center"/>
          </w:tcPr>
          <w:p>
            <w:r>
              <w:t>Sex</w:t>
            </w:r>
          </w:p>
        </w:tc>
        <w:tc>
          <w:tcPr>
            <w:tcW w:type="dxa" w:w="3120"/>
            <w:vAlign w:val="center"/>
          </w:tcPr>
          <w:p>
            <w:r>
              <w:t>Sex indicator</w:t>
            </w:r>
          </w:p>
        </w:tc>
        <w:tc>
          <w:tcPr>
            <w:tcW w:type="dxa" w:w="3120"/>
            <w:vAlign w:val="center"/>
          </w:tcPr>
          <w:p>
            <w:r>
              <w:t>Binary</w:t>
            </w:r>
          </w:p>
        </w:tc>
      </w:tr>
      <w:tr>
        <w:tc>
          <w:tcPr>
            <w:tcW w:type="dxa" w:w="3120"/>
            <w:vAlign w:val="center"/>
          </w:tcPr>
          <w:p>
            <w:r>
              <w:t>Age</w:t>
            </w:r>
          </w:p>
        </w:tc>
        <w:tc>
          <w:tcPr>
            <w:tcW w:type="dxa" w:w="3120"/>
            <w:vAlign w:val="center"/>
          </w:tcPr>
          <w:p>
            <w:r>
              <w:t>Age category</w:t>
            </w:r>
          </w:p>
        </w:tc>
        <w:tc>
          <w:tcPr>
            <w:tcW w:type="dxa" w:w="3120"/>
            <w:vAlign w:val="center"/>
          </w:tcPr>
          <w:p>
            <w:r>
              <w:t>Numeric/Ordinal</w:t>
            </w:r>
          </w:p>
        </w:tc>
      </w:tr>
      <w:tr>
        <w:tc>
          <w:tcPr>
            <w:tcW w:type="dxa" w:w="3120"/>
            <w:vAlign w:val="center"/>
          </w:tcPr>
          <w:p>
            <w:r>
              <w:t>Education</w:t>
            </w:r>
          </w:p>
        </w:tc>
        <w:tc>
          <w:tcPr>
            <w:tcW w:type="dxa" w:w="3120"/>
            <w:vAlign w:val="center"/>
          </w:tcPr>
          <w:p>
            <w:r>
              <w:t>Education level category</w:t>
            </w:r>
          </w:p>
        </w:tc>
        <w:tc>
          <w:tcPr>
            <w:tcW w:type="dxa" w:w="3120"/>
            <w:vAlign w:val="center"/>
          </w:tcPr>
          <w:p>
            <w:r>
              <w:t>Numeric/Ordinal</w:t>
            </w:r>
          </w:p>
        </w:tc>
      </w:tr>
      <w:tr>
        <w:tc>
          <w:tcPr>
            <w:tcW w:type="dxa" w:w="3120"/>
            <w:vAlign w:val="center"/>
          </w:tcPr>
          <w:p>
            <w:r>
              <w:t>Income</w:t>
            </w:r>
          </w:p>
        </w:tc>
        <w:tc>
          <w:tcPr>
            <w:tcW w:type="dxa" w:w="3120"/>
            <w:vAlign w:val="center"/>
          </w:tcPr>
          <w:p>
            <w:r>
              <w:t>Income level category</w:t>
            </w:r>
          </w:p>
        </w:tc>
        <w:tc>
          <w:tcPr>
            <w:tcW w:type="dxa" w:w="3120"/>
            <w:vAlign w:val="center"/>
          </w:tcPr>
          <w:p>
            <w:r>
              <w:t>Numeric/Ordinal</w:t>
            </w:r>
          </w:p>
        </w:tc>
      </w:tr>
    </w:tbl>
    <w:p/>
    <w:p>
      <w:pPr>
        <w:pStyle w:val="Heading1"/>
      </w:pPr>
      <w:r>
        <w:t>Exploratory Data Analysis and Descriptive Statistics</w:t>
      </w:r>
    </w:p>
    <w:p>
      <w:r>
        <w:t>Exploratory analysis was performed to understand the distribution of diabetes status and evaluate relationships between diabetes and the predictor variables. The full dataset showed a class imbalance, with 13.93% of respondents coded as having diabetes. This imbalance supports the use of the balanced modeling file for model training and testing.</w:t>
      </w:r>
    </w:p>
    <w:p>
      <w:r>
        <w:rPr>
          <w:b/>
        </w:rPr>
        <w:t>Table 3. Descriptive Statistics</w:t>
      </w:r>
    </w:p>
    <w:tbl>
      <w:tblPr>
        <w:tblStyle w:val="TableGrid"/>
        <w:tblW w:type="auto" w:w="0"/>
        <w:jc w:val="center"/>
        <w:tblLook w:firstColumn="1" w:firstRow="1" w:lastColumn="0" w:lastRow="0" w:noHBand="0" w:noVBand="1" w:val="04A0"/>
      </w:tblPr>
      <w:tblGrid>
        <w:gridCol w:w="1040"/>
        <w:gridCol w:w="1040"/>
        <w:gridCol w:w="1040"/>
        <w:gridCol w:w="1040"/>
        <w:gridCol w:w="1040"/>
        <w:gridCol w:w="1040"/>
        <w:gridCol w:w="1040"/>
        <w:gridCol w:w="1040"/>
        <w:gridCol w:w="1040"/>
      </w:tblGrid>
      <w:tr>
        <w:tc>
          <w:tcPr>
            <w:tcW w:type="dxa" w:w="1040"/>
            <w:shd w:fill="1F4E79"/>
            <w:vAlign w:val="center"/>
          </w:tcPr>
          <w:p>
            <w:r>
              <w:rPr>
                <w:color w:val="FFFFFF"/>
              </w:rPr>
              <w:t>Variable</w:t>
            </w:r>
          </w:p>
        </w:tc>
        <w:tc>
          <w:tcPr>
            <w:tcW w:type="dxa" w:w="1040"/>
            <w:shd w:fill="1F4E79"/>
            <w:vAlign w:val="center"/>
          </w:tcPr>
          <w:p>
            <w:r>
              <w:rPr>
                <w:color w:val="FFFFFF"/>
              </w:rPr>
              <w:t>count</w:t>
            </w:r>
          </w:p>
        </w:tc>
        <w:tc>
          <w:tcPr>
            <w:tcW w:type="dxa" w:w="1040"/>
            <w:shd w:fill="1F4E79"/>
            <w:vAlign w:val="center"/>
          </w:tcPr>
          <w:p>
            <w:r>
              <w:rPr>
                <w:color w:val="FFFFFF"/>
              </w:rPr>
              <w:t>mean</w:t>
            </w:r>
          </w:p>
        </w:tc>
        <w:tc>
          <w:tcPr>
            <w:tcW w:type="dxa" w:w="1040"/>
            <w:shd w:fill="1F4E79"/>
            <w:vAlign w:val="center"/>
          </w:tcPr>
          <w:p>
            <w:r>
              <w:rPr>
                <w:color w:val="FFFFFF"/>
              </w:rPr>
              <w:t>std</w:t>
            </w:r>
          </w:p>
        </w:tc>
        <w:tc>
          <w:tcPr>
            <w:tcW w:type="dxa" w:w="1040"/>
            <w:shd w:fill="1F4E79"/>
            <w:vAlign w:val="center"/>
          </w:tcPr>
          <w:p>
            <w:r>
              <w:rPr>
                <w:color w:val="FFFFFF"/>
              </w:rPr>
              <w:t>min</w:t>
            </w:r>
          </w:p>
        </w:tc>
        <w:tc>
          <w:tcPr>
            <w:tcW w:type="dxa" w:w="1040"/>
            <w:shd w:fill="1F4E79"/>
            <w:vAlign w:val="center"/>
          </w:tcPr>
          <w:p>
            <w:r>
              <w:rPr>
                <w:color w:val="FFFFFF"/>
              </w:rPr>
              <w:t>25%</w:t>
            </w:r>
          </w:p>
        </w:tc>
        <w:tc>
          <w:tcPr>
            <w:tcW w:type="dxa" w:w="1040"/>
            <w:shd w:fill="1F4E79"/>
            <w:vAlign w:val="center"/>
          </w:tcPr>
          <w:p>
            <w:r>
              <w:rPr>
                <w:color w:val="FFFFFF"/>
              </w:rPr>
              <w:t>50%</w:t>
            </w:r>
          </w:p>
        </w:tc>
        <w:tc>
          <w:tcPr>
            <w:tcW w:type="dxa" w:w="1040"/>
            <w:shd w:fill="1F4E79"/>
            <w:vAlign w:val="center"/>
          </w:tcPr>
          <w:p>
            <w:r>
              <w:rPr>
                <w:color w:val="FFFFFF"/>
              </w:rPr>
              <w:t>75%</w:t>
            </w:r>
          </w:p>
        </w:tc>
        <w:tc>
          <w:tcPr>
            <w:tcW w:type="dxa" w:w="1040"/>
            <w:shd w:fill="1F4E79"/>
            <w:vAlign w:val="center"/>
          </w:tcPr>
          <w:p>
            <w:r>
              <w:rPr>
                <w:color w:val="FFFFFF"/>
              </w:rPr>
              <w:t>max</w:t>
            </w:r>
          </w:p>
        </w:tc>
      </w:tr>
      <w:tr>
        <w:tc>
          <w:tcPr>
            <w:tcW w:type="dxa" w:w="1040"/>
            <w:vAlign w:val="center"/>
          </w:tcPr>
          <w:p>
            <w:r>
              <w:t>BMI</w:t>
            </w:r>
          </w:p>
        </w:tc>
        <w:tc>
          <w:tcPr>
            <w:tcW w:type="dxa" w:w="1040"/>
            <w:vAlign w:val="center"/>
          </w:tcPr>
          <w:p>
            <w:r>
              <w:t>253,680.00</w:t>
            </w:r>
          </w:p>
        </w:tc>
        <w:tc>
          <w:tcPr>
            <w:tcW w:type="dxa" w:w="1040"/>
            <w:vAlign w:val="center"/>
          </w:tcPr>
          <w:p>
            <w:r>
              <w:t>28.38</w:t>
            </w:r>
          </w:p>
        </w:tc>
        <w:tc>
          <w:tcPr>
            <w:tcW w:type="dxa" w:w="1040"/>
            <w:vAlign w:val="center"/>
          </w:tcPr>
          <w:p>
            <w:r>
              <w:t>6.61</w:t>
            </w:r>
          </w:p>
        </w:tc>
        <w:tc>
          <w:tcPr>
            <w:tcW w:type="dxa" w:w="1040"/>
            <w:vAlign w:val="center"/>
          </w:tcPr>
          <w:p>
            <w:r>
              <w:t>12.00</w:t>
            </w:r>
          </w:p>
        </w:tc>
        <w:tc>
          <w:tcPr>
            <w:tcW w:type="dxa" w:w="1040"/>
            <w:vAlign w:val="center"/>
          </w:tcPr>
          <w:p>
            <w:r>
              <w:t>24.00</w:t>
            </w:r>
          </w:p>
        </w:tc>
        <w:tc>
          <w:tcPr>
            <w:tcW w:type="dxa" w:w="1040"/>
            <w:vAlign w:val="center"/>
          </w:tcPr>
          <w:p>
            <w:r>
              <w:t>27.00</w:t>
            </w:r>
          </w:p>
        </w:tc>
        <w:tc>
          <w:tcPr>
            <w:tcW w:type="dxa" w:w="1040"/>
            <w:vAlign w:val="center"/>
          </w:tcPr>
          <w:p>
            <w:r>
              <w:t>31.00</w:t>
            </w:r>
          </w:p>
        </w:tc>
        <w:tc>
          <w:tcPr>
            <w:tcW w:type="dxa" w:w="1040"/>
            <w:vAlign w:val="center"/>
          </w:tcPr>
          <w:p>
            <w:r>
              <w:t>98.00</w:t>
            </w:r>
          </w:p>
        </w:tc>
      </w:tr>
      <w:tr>
        <w:tc>
          <w:tcPr>
            <w:tcW w:type="dxa" w:w="1040"/>
            <w:vAlign w:val="center"/>
          </w:tcPr>
          <w:p>
            <w:r>
              <w:t>GenHlth</w:t>
            </w:r>
          </w:p>
        </w:tc>
        <w:tc>
          <w:tcPr>
            <w:tcW w:type="dxa" w:w="1040"/>
            <w:vAlign w:val="center"/>
          </w:tcPr>
          <w:p>
            <w:r>
              <w:t>253,680.00</w:t>
            </w:r>
          </w:p>
        </w:tc>
        <w:tc>
          <w:tcPr>
            <w:tcW w:type="dxa" w:w="1040"/>
            <w:vAlign w:val="center"/>
          </w:tcPr>
          <w:p>
            <w:r>
              <w:t>2.51</w:t>
            </w:r>
          </w:p>
        </w:tc>
        <w:tc>
          <w:tcPr>
            <w:tcW w:type="dxa" w:w="1040"/>
            <w:vAlign w:val="center"/>
          </w:tcPr>
          <w:p>
            <w:r>
              <w:t>1.07</w:t>
            </w:r>
          </w:p>
        </w:tc>
        <w:tc>
          <w:tcPr>
            <w:tcW w:type="dxa" w:w="1040"/>
            <w:vAlign w:val="center"/>
          </w:tcPr>
          <w:p>
            <w:r>
              <w:t>1.00</w:t>
            </w:r>
          </w:p>
        </w:tc>
        <w:tc>
          <w:tcPr>
            <w:tcW w:type="dxa" w:w="1040"/>
            <w:vAlign w:val="center"/>
          </w:tcPr>
          <w:p>
            <w:r>
              <w:t>2.00</w:t>
            </w:r>
          </w:p>
        </w:tc>
        <w:tc>
          <w:tcPr>
            <w:tcW w:type="dxa" w:w="1040"/>
            <w:vAlign w:val="center"/>
          </w:tcPr>
          <w:p>
            <w:r>
              <w:t>2.00</w:t>
            </w:r>
          </w:p>
        </w:tc>
        <w:tc>
          <w:tcPr>
            <w:tcW w:type="dxa" w:w="1040"/>
            <w:vAlign w:val="center"/>
          </w:tcPr>
          <w:p>
            <w:r>
              <w:t>3.00</w:t>
            </w:r>
          </w:p>
        </w:tc>
        <w:tc>
          <w:tcPr>
            <w:tcW w:type="dxa" w:w="1040"/>
            <w:vAlign w:val="center"/>
          </w:tcPr>
          <w:p>
            <w:r>
              <w:t>5.00</w:t>
            </w:r>
          </w:p>
        </w:tc>
      </w:tr>
      <w:tr>
        <w:tc>
          <w:tcPr>
            <w:tcW w:type="dxa" w:w="1040"/>
            <w:vAlign w:val="center"/>
          </w:tcPr>
          <w:p>
            <w:r>
              <w:t>MentHlth</w:t>
            </w:r>
          </w:p>
        </w:tc>
        <w:tc>
          <w:tcPr>
            <w:tcW w:type="dxa" w:w="1040"/>
            <w:vAlign w:val="center"/>
          </w:tcPr>
          <w:p>
            <w:r>
              <w:t>253,680.00</w:t>
            </w:r>
          </w:p>
        </w:tc>
        <w:tc>
          <w:tcPr>
            <w:tcW w:type="dxa" w:w="1040"/>
            <w:vAlign w:val="center"/>
          </w:tcPr>
          <w:p>
            <w:r>
              <w:t>3.18</w:t>
            </w:r>
          </w:p>
        </w:tc>
        <w:tc>
          <w:tcPr>
            <w:tcW w:type="dxa" w:w="1040"/>
            <w:vAlign w:val="center"/>
          </w:tcPr>
          <w:p>
            <w:r>
              <w:t>7.41</w:t>
            </w:r>
          </w:p>
        </w:tc>
        <w:tc>
          <w:tcPr>
            <w:tcW w:type="dxa" w:w="1040"/>
            <w:vAlign w:val="center"/>
          </w:tcPr>
          <w:p>
            <w:r>
              <w:t>0.0000</w:t>
            </w:r>
          </w:p>
        </w:tc>
        <w:tc>
          <w:tcPr>
            <w:tcW w:type="dxa" w:w="1040"/>
            <w:vAlign w:val="center"/>
          </w:tcPr>
          <w:p>
            <w:r>
              <w:t>0.0000</w:t>
            </w:r>
          </w:p>
        </w:tc>
        <w:tc>
          <w:tcPr>
            <w:tcW w:type="dxa" w:w="1040"/>
            <w:vAlign w:val="center"/>
          </w:tcPr>
          <w:p>
            <w:r>
              <w:t>0.0000</w:t>
            </w:r>
          </w:p>
        </w:tc>
        <w:tc>
          <w:tcPr>
            <w:tcW w:type="dxa" w:w="1040"/>
            <w:vAlign w:val="center"/>
          </w:tcPr>
          <w:p>
            <w:r>
              <w:t>2.00</w:t>
            </w:r>
          </w:p>
        </w:tc>
        <w:tc>
          <w:tcPr>
            <w:tcW w:type="dxa" w:w="1040"/>
            <w:vAlign w:val="center"/>
          </w:tcPr>
          <w:p>
            <w:r>
              <w:t>30.00</w:t>
            </w:r>
          </w:p>
        </w:tc>
      </w:tr>
      <w:tr>
        <w:tc>
          <w:tcPr>
            <w:tcW w:type="dxa" w:w="1040"/>
            <w:vAlign w:val="center"/>
          </w:tcPr>
          <w:p>
            <w:r>
              <w:t>PhysHlth</w:t>
            </w:r>
          </w:p>
        </w:tc>
        <w:tc>
          <w:tcPr>
            <w:tcW w:type="dxa" w:w="1040"/>
            <w:vAlign w:val="center"/>
          </w:tcPr>
          <w:p>
            <w:r>
              <w:t>253,680.00</w:t>
            </w:r>
          </w:p>
        </w:tc>
        <w:tc>
          <w:tcPr>
            <w:tcW w:type="dxa" w:w="1040"/>
            <w:vAlign w:val="center"/>
          </w:tcPr>
          <w:p>
            <w:r>
              <w:t>4.24</w:t>
            </w:r>
          </w:p>
        </w:tc>
        <w:tc>
          <w:tcPr>
            <w:tcW w:type="dxa" w:w="1040"/>
            <w:vAlign w:val="center"/>
          </w:tcPr>
          <w:p>
            <w:r>
              <w:t>8.72</w:t>
            </w:r>
          </w:p>
        </w:tc>
        <w:tc>
          <w:tcPr>
            <w:tcW w:type="dxa" w:w="1040"/>
            <w:vAlign w:val="center"/>
          </w:tcPr>
          <w:p>
            <w:r>
              <w:t>0.0000</w:t>
            </w:r>
          </w:p>
        </w:tc>
        <w:tc>
          <w:tcPr>
            <w:tcW w:type="dxa" w:w="1040"/>
            <w:vAlign w:val="center"/>
          </w:tcPr>
          <w:p>
            <w:r>
              <w:t>0.0000</w:t>
            </w:r>
          </w:p>
        </w:tc>
        <w:tc>
          <w:tcPr>
            <w:tcW w:type="dxa" w:w="1040"/>
            <w:vAlign w:val="center"/>
          </w:tcPr>
          <w:p>
            <w:r>
              <w:t>0.0000</w:t>
            </w:r>
          </w:p>
        </w:tc>
        <w:tc>
          <w:tcPr>
            <w:tcW w:type="dxa" w:w="1040"/>
            <w:vAlign w:val="center"/>
          </w:tcPr>
          <w:p>
            <w:r>
              <w:t>3.00</w:t>
            </w:r>
          </w:p>
        </w:tc>
        <w:tc>
          <w:tcPr>
            <w:tcW w:type="dxa" w:w="1040"/>
            <w:vAlign w:val="center"/>
          </w:tcPr>
          <w:p>
            <w:r>
              <w:t>30.00</w:t>
            </w:r>
          </w:p>
        </w:tc>
      </w:tr>
      <w:tr>
        <w:tc>
          <w:tcPr>
            <w:tcW w:type="dxa" w:w="1040"/>
            <w:vAlign w:val="center"/>
          </w:tcPr>
          <w:p>
            <w:r>
              <w:t>Age</w:t>
            </w:r>
          </w:p>
        </w:tc>
        <w:tc>
          <w:tcPr>
            <w:tcW w:type="dxa" w:w="1040"/>
            <w:vAlign w:val="center"/>
          </w:tcPr>
          <w:p>
            <w:r>
              <w:t>253,680.00</w:t>
            </w:r>
          </w:p>
        </w:tc>
        <w:tc>
          <w:tcPr>
            <w:tcW w:type="dxa" w:w="1040"/>
            <w:vAlign w:val="center"/>
          </w:tcPr>
          <w:p>
            <w:r>
              <w:t>8.03</w:t>
            </w:r>
          </w:p>
        </w:tc>
        <w:tc>
          <w:tcPr>
            <w:tcW w:type="dxa" w:w="1040"/>
            <w:vAlign w:val="center"/>
          </w:tcPr>
          <w:p>
            <w:r>
              <w:t>3.05</w:t>
            </w:r>
          </w:p>
        </w:tc>
        <w:tc>
          <w:tcPr>
            <w:tcW w:type="dxa" w:w="1040"/>
            <w:vAlign w:val="center"/>
          </w:tcPr>
          <w:p>
            <w:r>
              <w:t>1.00</w:t>
            </w:r>
          </w:p>
        </w:tc>
        <w:tc>
          <w:tcPr>
            <w:tcW w:type="dxa" w:w="1040"/>
            <w:vAlign w:val="center"/>
          </w:tcPr>
          <w:p>
            <w:r>
              <w:t>6.00</w:t>
            </w:r>
          </w:p>
        </w:tc>
        <w:tc>
          <w:tcPr>
            <w:tcW w:type="dxa" w:w="1040"/>
            <w:vAlign w:val="center"/>
          </w:tcPr>
          <w:p>
            <w:r>
              <w:t>8.00</w:t>
            </w:r>
          </w:p>
        </w:tc>
        <w:tc>
          <w:tcPr>
            <w:tcW w:type="dxa" w:w="1040"/>
            <w:vAlign w:val="center"/>
          </w:tcPr>
          <w:p>
            <w:r>
              <w:t>10.00</w:t>
            </w:r>
          </w:p>
        </w:tc>
        <w:tc>
          <w:tcPr>
            <w:tcW w:type="dxa" w:w="1040"/>
            <w:vAlign w:val="center"/>
          </w:tcPr>
          <w:p>
            <w:r>
              <w:t>13.00</w:t>
            </w:r>
          </w:p>
        </w:tc>
      </w:tr>
      <w:tr>
        <w:tc>
          <w:tcPr>
            <w:tcW w:type="dxa" w:w="1040"/>
            <w:vAlign w:val="center"/>
          </w:tcPr>
          <w:p>
            <w:r>
              <w:t>Education</w:t>
            </w:r>
          </w:p>
        </w:tc>
        <w:tc>
          <w:tcPr>
            <w:tcW w:type="dxa" w:w="1040"/>
            <w:vAlign w:val="center"/>
          </w:tcPr>
          <w:p>
            <w:r>
              <w:t>253,680.00</w:t>
            </w:r>
          </w:p>
        </w:tc>
        <w:tc>
          <w:tcPr>
            <w:tcW w:type="dxa" w:w="1040"/>
            <w:vAlign w:val="center"/>
          </w:tcPr>
          <w:p>
            <w:r>
              <w:t>5.05</w:t>
            </w:r>
          </w:p>
        </w:tc>
        <w:tc>
          <w:tcPr>
            <w:tcW w:type="dxa" w:w="1040"/>
            <w:vAlign w:val="center"/>
          </w:tcPr>
          <w:p>
            <w:r>
              <w:t>0.9858</w:t>
            </w:r>
          </w:p>
        </w:tc>
        <w:tc>
          <w:tcPr>
            <w:tcW w:type="dxa" w:w="1040"/>
            <w:vAlign w:val="center"/>
          </w:tcPr>
          <w:p>
            <w:r>
              <w:t>1.00</w:t>
            </w:r>
          </w:p>
        </w:tc>
        <w:tc>
          <w:tcPr>
            <w:tcW w:type="dxa" w:w="1040"/>
            <w:vAlign w:val="center"/>
          </w:tcPr>
          <w:p>
            <w:r>
              <w:t>4.00</w:t>
            </w:r>
          </w:p>
        </w:tc>
        <w:tc>
          <w:tcPr>
            <w:tcW w:type="dxa" w:w="1040"/>
            <w:vAlign w:val="center"/>
          </w:tcPr>
          <w:p>
            <w:r>
              <w:t>5.00</w:t>
            </w:r>
          </w:p>
        </w:tc>
        <w:tc>
          <w:tcPr>
            <w:tcW w:type="dxa" w:w="1040"/>
            <w:vAlign w:val="center"/>
          </w:tcPr>
          <w:p>
            <w:r>
              <w:t>6.00</w:t>
            </w:r>
          </w:p>
        </w:tc>
        <w:tc>
          <w:tcPr>
            <w:tcW w:type="dxa" w:w="1040"/>
            <w:vAlign w:val="center"/>
          </w:tcPr>
          <w:p>
            <w:r>
              <w:t>6.00</w:t>
            </w:r>
          </w:p>
        </w:tc>
      </w:tr>
      <w:tr>
        <w:tc>
          <w:tcPr>
            <w:tcW w:type="dxa" w:w="1040"/>
            <w:vAlign w:val="center"/>
          </w:tcPr>
          <w:p>
            <w:r>
              <w:t>Income</w:t>
            </w:r>
          </w:p>
        </w:tc>
        <w:tc>
          <w:tcPr>
            <w:tcW w:type="dxa" w:w="1040"/>
            <w:vAlign w:val="center"/>
          </w:tcPr>
          <w:p>
            <w:r>
              <w:t>253,680.00</w:t>
            </w:r>
          </w:p>
        </w:tc>
        <w:tc>
          <w:tcPr>
            <w:tcW w:type="dxa" w:w="1040"/>
            <w:vAlign w:val="center"/>
          </w:tcPr>
          <w:p>
            <w:r>
              <w:t>6.05</w:t>
            </w:r>
          </w:p>
        </w:tc>
        <w:tc>
          <w:tcPr>
            <w:tcW w:type="dxa" w:w="1040"/>
            <w:vAlign w:val="center"/>
          </w:tcPr>
          <w:p>
            <w:r>
              <w:t>2.07</w:t>
            </w:r>
          </w:p>
        </w:tc>
        <w:tc>
          <w:tcPr>
            <w:tcW w:type="dxa" w:w="1040"/>
            <w:vAlign w:val="center"/>
          </w:tcPr>
          <w:p>
            <w:r>
              <w:t>1.00</w:t>
            </w:r>
          </w:p>
        </w:tc>
        <w:tc>
          <w:tcPr>
            <w:tcW w:type="dxa" w:w="1040"/>
            <w:vAlign w:val="center"/>
          </w:tcPr>
          <w:p>
            <w:r>
              <w:t>5.00</w:t>
            </w:r>
          </w:p>
        </w:tc>
        <w:tc>
          <w:tcPr>
            <w:tcW w:type="dxa" w:w="1040"/>
            <w:vAlign w:val="center"/>
          </w:tcPr>
          <w:p>
            <w:r>
              <w:t>7.00</w:t>
            </w:r>
          </w:p>
        </w:tc>
        <w:tc>
          <w:tcPr>
            <w:tcW w:type="dxa" w:w="1040"/>
            <w:vAlign w:val="center"/>
          </w:tcPr>
          <w:p>
            <w:r>
              <w:t>8.00</w:t>
            </w:r>
          </w:p>
        </w:tc>
        <w:tc>
          <w:tcPr>
            <w:tcW w:type="dxa" w:w="1040"/>
            <w:vAlign w:val="center"/>
          </w:tcPr>
          <w:p>
            <w:r>
              <w:t>8.00</w:t>
            </w:r>
          </w:p>
        </w:tc>
      </w:tr>
    </w:tbl>
    <w:p/>
    <w:p>
      <w:r>
        <w:rPr>
          <w:b/>
        </w:rPr>
        <w:t>Table 4. Diabetes Distribution</w:t>
      </w:r>
    </w:p>
    <w:tbl>
      <w:tblPr>
        <w:tblStyle w:val="TableGrid"/>
        <w:tblW w:type="auto" w:w="0"/>
        <w:jc w:val="center"/>
        <w:tblLook w:firstColumn="1" w:firstRow="1" w:lastColumn="0" w:lastRow="0" w:noHBand="0" w:noVBand="1" w:val="04A0"/>
      </w:tblPr>
      <w:tblGrid>
        <w:gridCol w:w="3120"/>
        <w:gridCol w:w="3120"/>
        <w:gridCol w:w="3120"/>
      </w:tblGrid>
      <w:tr>
        <w:tc>
          <w:tcPr>
            <w:tcW w:type="dxa" w:w="3120"/>
            <w:shd w:fill="1F4E79"/>
            <w:vAlign w:val="center"/>
          </w:tcPr>
          <w:p>
            <w:r>
              <w:rPr>
                <w:color w:val="FFFFFF"/>
              </w:rPr>
              <w:t>Label</w:t>
            </w:r>
          </w:p>
        </w:tc>
        <w:tc>
          <w:tcPr>
            <w:tcW w:type="dxa" w:w="3120"/>
            <w:shd w:fill="1F4E79"/>
            <w:vAlign w:val="center"/>
          </w:tcPr>
          <w:p>
            <w:r>
              <w:rPr>
                <w:color w:val="FFFFFF"/>
              </w:rPr>
              <w:t>Count</w:t>
            </w:r>
          </w:p>
        </w:tc>
        <w:tc>
          <w:tcPr>
            <w:tcW w:type="dxa" w:w="3120"/>
            <w:shd w:fill="1F4E79"/>
            <w:vAlign w:val="center"/>
          </w:tcPr>
          <w:p>
            <w:r>
              <w:rPr>
                <w:color w:val="FFFFFF"/>
              </w:rPr>
              <w:t>Percentage</w:t>
            </w:r>
          </w:p>
        </w:tc>
      </w:tr>
      <w:tr>
        <w:tc>
          <w:tcPr>
            <w:tcW w:type="dxa" w:w="3120"/>
            <w:vAlign w:val="center"/>
          </w:tcPr>
          <w:p>
            <w:r>
              <w:t>No diabetes</w:t>
            </w:r>
          </w:p>
        </w:tc>
        <w:tc>
          <w:tcPr>
            <w:tcW w:type="dxa" w:w="3120"/>
            <w:vAlign w:val="center"/>
          </w:tcPr>
          <w:p>
            <w:r>
              <w:t>218334</w:t>
            </w:r>
          </w:p>
        </w:tc>
        <w:tc>
          <w:tcPr>
            <w:tcW w:type="dxa" w:w="3120"/>
            <w:vAlign w:val="center"/>
          </w:tcPr>
          <w:p>
            <w:r>
              <w:t>86.07</w:t>
            </w:r>
          </w:p>
        </w:tc>
      </w:tr>
      <w:tr>
        <w:tc>
          <w:tcPr>
            <w:tcW w:type="dxa" w:w="3120"/>
            <w:vAlign w:val="center"/>
          </w:tcPr>
          <w:p>
            <w:r>
              <w:t>Diabetes</w:t>
            </w:r>
          </w:p>
        </w:tc>
        <w:tc>
          <w:tcPr>
            <w:tcW w:type="dxa" w:w="3120"/>
            <w:vAlign w:val="center"/>
          </w:tcPr>
          <w:p>
            <w:r>
              <w:t>35346</w:t>
            </w:r>
          </w:p>
        </w:tc>
        <w:tc>
          <w:tcPr>
            <w:tcW w:type="dxa" w:w="3120"/>
            <w:vAlign w:val="center"/>
          </w:tcPr>
          <w:p>
            <w:r>
              <w:t>13.93</w:t>
            </w:r>
          </w:p>
        </w:tc>
      </w:tr>
    </w:tbl>
    <w:p/>
    <w:p>
      <w:r>
        <w:drawing>
          <wp:inline xmlns:a="http://schemas.openxmlformats.org/drawingml/2006/main" xmlns:pic="http://schemas.openxmlformats.org/drawingml/2006/picture">
            <wp:extent cx="5669280" cy="3726099"/>
            <wp:docPr id="1" name="Picture 1"/>
            <wp:cNvGraphicFramePr>
              <a:graphicFrameLocks noChangeAspect="1"/>
            </wp:cNvGraphicFramePr>
            <a:graphic>
              <a:graphicData uri="http://schemas.openxmlformats.org/drawingml/2006/picture">
                <pic:pic>
                  <pic:nvPicPr>
                    <pic:cNvPr id="0" name="figure_1_diabetes_distribution.png"/>
                    <pic:cNvPicPr/>
                  </pic:nvPicPr>
                  <pic:blipFill>
                    <a:blip r:embed="rId9"/>
                    <a:stretch>
                      <a:fillRect/>
                    </a:stretch>
                  </pic:blipFill>
                  <pic:spPr>
                    <a:xfrm>
                      <a:off x="0" y="0"/>
                      <a:ext cx="5669280" cy="3726099"/>
                    </a:xfrm>
                    <a:prstGeom prst="rect"/>
                  </pic:spPr>
                </pic:pic>
              </a:graphicData>
            </a:graphic>
          </wp:inline>
        </w:drawing>
      </w:r>
    </w:p>
    <w:p>
      <w:pPr>
        <w:pStyle w:val="Caption"/>
      </w:pPr>
      <w:r>
        <w:t>Figure 1. Diabetes Status Distribution</w:t>
      </w:r>
    </w:p>
    <w:p>
      <w:r>
        <w:drawing>
          <wp:inline xmlns:a="http://schemas.openxmlformats.org/drawingml/2006/main" xmlns:pic="http://schemas.openxmlformats.org/drawingml/2006/picture">
            <wp:extent cx="5669280" cy="3464905"/>
            <wp:docPr id="2" name="Picture 2"/>
            <wp:cNvGraphicFramePr>
              <a:graphicFrameLocks noChangeAspect="1"/>
            </wp:cNvGraphicFramePr>
            <a:graphic>
              <a:graphicData uri="http://schemas.openxmlformats.org/drawingml/2006/picture">
                <pic:pic>
                  <pic:nvPicPr>
                    <pic:cNvPr id="0" name="figure_2_bmi_by_diabetes.png"/>
                    <pic:cNvPicPr/>
                  </pic:nvPicPr>
                  <pic:blipFill>
                    <a:blip r:embed="rId10"/>
                    <a:stretch>
                      <a:fillRect/>
                    </a:stretch>
                  </pic:blipFill>
                  <pic:spPr>
                    <a:xfrm>
                      <a:off x="0" y="0"/>
                      <a:ext cx="5669280" cy="3464905"/>
                    </a:xfrm>
                    <a:prstGeom prst="rect"/>
                  </pic:spPr>
                </pic:pic>
              </a:graphicData>
            </a:graphic>
          </wp:inline>
        </w:drawing>
      </w:r>
    </w:p>
    <w:p>
      <w:pPr>
        <w:pStyle w:val="Caption"/>
      </w:pPr>
      <w:r>
        <w:t>Figure 2. BMI Distribution by Diabetes Status</w:t>
      </w:r>
    </w:p>
    <w:p>
      <w:r>
        <w:drawing>
          <wp:inline xmlns:a="http://schemas.openxmlformats.org/drawingml/2006/main" xmlns:pic="http://schemas.openxmlformats.org/drawingml/2006/picture">
            <wp:extent cx="5669280" cy="3228570"/>
            <wp:docPr id="3" name="Picture 3"/>
            <wp:cNvGraphicFramePr>
              <a:graphicFrameLocks noChangeAspect="1"/>
            </wp:cNvGraphicFramePr>
            <a:graphic>
              <a:graphicData uri="http://schemas.openxmlformats.org/drawingml/2006/picture">
                <pic:pic>
                  <pic:nvPicPr>
                    <pic:cNvPr id="0" name="figure_3_diabetes_by_age.png"/>
                    <pic:cNvPicPr/>
                  </pic:nvPicPr>
                  <pic:blipFill>
                    <a:blip r:embed="rId11"/>
                    <a:stretch>
                      <a:fillRect/>
                    </a:stretch>
                  </pic:blipFill>
                  <pic:spPr>
                    <a:xfrm>
                      <a:off x="0" y="0"/>
                      <a:ext cx="5669280" cy="3228570"/>
                    </a:xfrm>
                    <a:prstGeom prst="rect"/>
                  </pic:spPr>
                </pic:pic>
              </a:graphicData>
            </a:graphic>
          </wp:inline>
        </w:drawing>
      </w:r>
    </w:p>
    <w:p>
      <w:pPr>
        <w:pStyle w:val="Caption"/>
      </w:pPr>
      <w:r>
        <w:t>Figure 3. Diabetes Prevalence by Age Category</w:t>
      </w:r>
    </w:p>
    <w:p>
      <w:r>
        <w:drawing>
          <wp:inline xmlns:a="http://schemas.openxmlformats.org/drawingml/2006/main" xmlns:pic="http://schemas.openxmlformats.org/drawingml/2006/picture">
            <wp:extent cx="5669280" cy="4597697"/>
            <wp:docPr id="4" name="Picture 4"/>
            <wp:cNvGraphicFramePr>
              <a:graphicFrameLocks noChangeAspect="1"/>
            </wp:cNvGraphicFramePr>
            <a:graphic>
              <a:graphicData uri="http://schemas.openxmlformats.org/drawingml/2006/picture">
                <pic:pic>
                  <pic:nvPicPr>
                    <pic:cNvPr id="0" name="figure_4_correlation_heatmap.png"/>
                    <pic:cNvPicPr/>
                  </pic:nvPicPr>
                  <pic:blipFill>
                    <a:blip r:embed="rId12"/>
                    <a:stretch>
                      <a:fillRect/>
                    </a:stretch>
                  </pic:blipFill>
                  <pic:spPr>
                    <a:xfrm>
                      <a:off x="0" y="0"/>
                      <a:ext cx="5669280" cy="4597697"/>
                    </a:xfrm>
                    <a:prstGeom prst="rect"/>
                  </pic:spPr>
                </pic:pic>
              </a:graphicData>
            </a:graphic>
          </wp:inline>
        </w:drawing>
      </w:r>
    </w:p>
    <w:p>
      <w:pPr>
        <w:pStyle w:val="Caption"/>
      </w:pPr>
      <w:r>
        <w:t>Figure 4. Correlation Heatmap of Diabetes Indicators</w:t>
      </w:r>
    </w:p>
    <w:p>
      <w:r>
        <w:t>The descriptive results showed that diabetes prevalence increased across higher age categories and was higher among individuals with poorer general health, higher BMI, high blood pressure, high cholesterol, and difficulty walking. The correlation analysis identified general health, high blood pressure, BMI, difficulty walking, age, and high cholesterol as some of the strongest variables associated with diabetes status.</w:t>
      </w:r>
    </w:p>
    <w:p>
      <w:r>
        <w:rPr>
          <w:b/>
        </w:rPr>
        <w:t>Table 5. Top Correlations with Diabetes</w:t>
      </w:r>
    </w:p>
    <w:tbl>
      <w:tblPr>
        <w:tblStyle w:val="TableGrid"/>
        <w:tblW w:type="auto" w:w="0"/>
        <w:jc w:val="center"/>
        <w:tblLook w:firstColumn="1" w:firstRow="1" w:lastColumn="0" w:lastRow="0" w:noHBand="0" w:noVBand="1" w:val="04A0"/>
      </w:tblPr>
      <w:tblGrid>
        <w:gridCol w:w="4680"/>
        <w:gridCol w:w="4680"/>
      </w:tblGrid>
      <w:tr>
        <w:tc>
          <w:tcPr>
            <w:tcW w:type="dxa" w:w="4680"/>
            <w:shd w:fill="1F4E79"/>
            <w:vAlign w:val="center"/>
          </w:tcPr>
          <w:p>
            <w:r>
              <w:rPr>
                <w:color w:val="FFFFFF"/>
              </w:rPr>
              <w:t>Feature</w:t>
            </w:r>
          </w:p>
        </w:tc>
        <w:tc>
          <w:tcPr>
            <w:tcW w:type="dxa" w:w="4680"/>
            <w:shd w:fill="1F4E79"/>
            <w:vAlign w:val="center"/>
          </w:tcPr>
          <w:p>
            <w:r>
              <w:rPr>
                <w:color w:val="FFFFFF"/>
              </w:rPr>
              <w:t>Correlation_with_Diabetes</w:t>
            </w:r>
          </w:p>
        </w:tc>
      </w:tr>
      <w:tr>
        <w:tc>
          <w:tcPr>
            <w:tcW w:type="dxa" w:w="4680"/>
            <w:vAlign w:val="center"/>
          </w:tcPr>
          <w:p>
            <w:r>
              <w:t>GenHlth</w:t>
            </w:r>
          </w:p>
        </w:tc>
        <w:tc>
          <w:tcPr>
            <w:tcW w:type="dxa" w:w="4680"/>
            <w:vAlign w:val="center"/>
          </w:tcPr>
          <w:p>
            <w:r>
              <w:t>0.2936</w:t>
            </w:r>
          </w:p>
        </w:tc>
      </w:tr>
      <w:tr>
        <w:tc>
          <w:tcPr>
            <w:tcW w:type="dxa" w:w="4680"/>
            <w:vAlign w:val="center"/>
          </w:tcPr>
          <w:p>
            <w:r>
              <w:t>HighBP</w:t>
            </w:r>
          </w:p>
        </w:tc>
        <w:tc>
          <w:tcPr>
            <w:tcW w:type="dxa" w:w="4680"/>
            <w:vAlign w:val="center"/>
          </w:tcPr>
          <w:p>
            <w:r>
              <w:t>0.2631</w:t>
            </w:r>
          </w:p>
        </w:tc>
      </w:tr>
      <w:tr>
        <w:tc>
          <w:tcPr>
            <w:tcW w:type="dxa" w:w="4680"/>
            <w:vAlign w:val="center"/>
          </w:tcPr>
          <w:p>
            <w:r>
              <w:t>DiffWalk</w:t>
            </w:r>
          </w:p>
        </w:tc>
        <w:tc>
          <w:tcPr>
            <w:tcW w:type="dxa" w:w="4680"/>
            <w:vAlign w:val="center"/>
          </w:tcPr>
          <w:p>
            <w:r>
              <w:t>0.2183</w:t>
            </w:r>
          </w:p>
        </w:tc>
      </w:tr>
      <w:tr>
        <w:tc>
          <w:tcPr>
            <w:tcW w:type="dxa" w:w="4680"/>
            <w:vAlign w:val="center"/>
          </w:tcPr>
          <w:p>
            <w:r>
              <w:t>BMI</w:t>
            </w:r>
          </w:p>
        </w:tc>
        <w:tc>
          <w:tcPr>
            <w:tcW w:type="dxa" w:w="4680"/>
            <w:vAlign w:val="center"/>
          </w:tcPr>
          <w:p>
            <w:r>
              <w:t>0.2168</w:t>
            </w:r>
          </w:p>
        </w:tc>
      </w:tr>
      <w:tr>
        <w:tc>
          <w:tcPr>
            <w:tcW w:type="dxa" w:w="4680"/>
            <w:vAlign w:val="center"/>
          </w:tcPr>
          <w:p>
            <w:r>
              <w:t>HighChol</w:t>
            </w:r>
          </w:p>
        </w:tc>
        <w:tc>
          <w:tcPr>
            <w:tcW w:type="dxa" w:w="4680"/>
            <w:vAlign w:val="center"/>
          </w:tcPr>
          <w:p>
            <w:r>
              <w:t>0.2003</w:t>
            </w:r>
          </w:p>
        </w:tc>
      </w:tr>
      <w:tr>
        <w:tc>
          <w:tcPr>
            <w:tcW w:type="dxa" w:w="4680"/>
            <w:vAlign w:val="center"/>
          </w:tcPr>
          <w:p>
            <w:r>
              <w:t>Age</w:t>
            </w:r>
          </w:p>
        </w:tc>
        <w:tc>
          <w:tcPr>
            <w:tcW w:type="dxa" w:w="4680"/>
            <w:vAlign w:val="center"/>
          </w:tcPr>
          <w:p>
            <w:r>
              <w:t>0.1774</w:t>
            </w:r>
          </w:p>
        </w:tc>
      </w:tr>
      <w:tr>
        <w:tc>
          <w:tcPr>
            <w:tcW w:type="dxa" w:w="4680"/>
            <w:vAlign w:val="center"/>
          </w:tcPr>
          <w:p>
            <w:r>
              <w:t>HeartDiseaseorAttack</w:t>
            </w:r>
          </w:p>
        </w:tc>
        <w:tc>
          <w:tcPr>
            <w:tcW w:type="dxa" w:w="4680"/>
            <w:vAlign w:val="center"/>
          </w:tcPr>
          <w:p>
            <w:r>
              <w:t>0.1773</w:t>
            </w:r>
          </w:p>
        </w:tc>
      </w:tr>
      <w:tr>
        <w:tc>
          <w:tcPr>
            <w:tcW w:type="dxa" w:w="4680"/>
            <w:vAlign w:val="center"/>
          </w:tcPr>
          <w:p>
            <w:r>
              <w:t>PhysHlth</w:t>
            </w:r>
          </w:p>
        </w:tc>
        <w:tc>
          <w:tcPr>
            <w:tcW w:type="dxa" w:w="4680"/>
            <w:vAlign w:val="center"/>
          </w:tcPr>
          <w:p>
            <w:r>
              <w:t>0.1713</w:t>
            </w:r>
          </w:p>
        </w:tc>
      </w:tr>
      <w:tr>
        <w:tc>
          <w:tcPr>
            <w:tcW w:type="dxa" w:w="4680"/>
            <w:vAlign w:val="center"/>
          </w:tcPr>
          <w:p>
            <w:r>
              <w:t>Income</w:t>
            </w:r>
          </w:p>
        </w:tc>
        <w:tc>
          <w:tcPr>
            <w:tcW w:type="dxa" w:w="4680"/>
            <w:vAlign w:val="center"/>
          </w:tcPr>
          <w:p>
            <w:r>
              <w:t>-0.1639</w:t>
            </w:r>
          </w:p>
        </w:tc>
      </w:tr>
      <w:tr>
        <w:tc>
          <w:tcPr>
            <w:tcW w:type="dxa" w:w="4680"/>
            <w:vAlign w:val="center"/>
          </w:tcPr>
          <w:p>
            <w:r>
              <w:t>Education</w:t>
            </w:r>
          </w:p>
        </w:tc>
        <w:tc>
          <w:tcPr>
            <w:tcW w:type="dxa" w:w="4680"/>
            <w:vAlign w:val="center"/>
          </w:tcPr>
          <w:p>
            <w:r>
              <w:t>-0.1245</w:t>
            </w:r>
          </w:p>
        </w:tc>
      </w:tr>
    </w:tbl>
    <w:p/>
    <w:p>
      <w:pPr>
        <w:pStyle w:val="Heading1"/>
      </w:pPr>
      <w:r>
        <w:t>Methodology Approach and Model Building</w:t>
      </w:r>
    </w:p>
    <w:p>
      <w:r>
        <w:t>Four classification models were developed: Logistic Regression, Decision Tree, Random Forest, and Gradient Boosting. Logistic Regression was used as the interpretable baseline model. Decision Tree was included because it provides a transparent rule-based structure. Random Forest was used to capture nonlinear relationships and interactions among health indicators. Gradient Boosting was included as an advanced ensemble model that improves predictive performance by sequentially correcting errors from prior trees.</w:t>
      </w:r>
    </w:p>
    <w:p>
      <w:pPr>
        <w:pStyle w:val="Heading2"/>
      </w:pPr>
      <w:r>
        <w:t>Test Design</w:t>
      </w:r>
    </w:p>
    <w:p>
      <w:r>
        <w:t>The balanced dataset was split into training and testing sets using a 70/30 stratified split. Stratification preserved the diabetes and non-diabetes class distribution in both sets. Model performance was evaluated on the unseen testing data using accuracy, precision, recall, specificity, F1-score, and ROC-AUC. Because the project focuses on preventive healthcare, recall and ROC-AUC were emphasized because missing high-risk individuals would be more costly than generating additional screening referrals.</w:t>
      </w:r>
    </w:p>
    <w:p>
      <w:pPr>
        <w:pStyle w:val="Heading2"/>
      </w:pPr>
      <w:r>
        <w:t>Model Assessment</w:t>
      </w:r>
    </w:p>
    <w:p>
      <w:r>
        <w:rPr>
          <w:b/>
        </w:rPr>
        <w:t>Table 6. Model Performance Comparison</w:t>
      </w:r>
    </w:p>
    <w:tbl>
      <w:tblPr>
        <w:tblStyle w:val="TableGrid"/>
        <w:tblW w:type="auto" w:w="0"/>
        <w:jc w:val="center"/>
        <w:tblLook w:firstColumn="1" w:firstRow="1" w:lastColumn="0" w:lastRow="0" w:noHBand="0" w:noVBand="1" w:val="04A0"/>
      </w:tblPr>
      <w:tblGrid>
        <w:gridCol w:w="851"/>
        <w:gridCol w:w="851"/>
        <w:gridCol w:w="851"/>
        <w:gridCol w:w="851"/>
        <w:gridCol w:w="851"/>
        <w:gridCol w:w="851"/>
        <w:gridCol w:w="851"/>
        <w:gridCol w:w="851"/>
        <w:gridCol w:w="851"/>
        <w:gridCol w:w="851"/>
        <w:gridCol w:w="851"/>
      </w:tblGrid>
      <w:tr>
        <w:tc>
          <w:tcPr>
            <w:tcW w:type="dxa" w:w="851"/>
            <w:shd w:fill="1F4E79"/>
            <w:vAlign w:val="center"/>
          </w:tcPr>
          <w:p>
            <w:r>
              <w:rPr>
                <w:color w:val="FFFFFF"/>
              </w:rPr>
              <w:t>Model</w:t>
            </w:r>
          </w:p>
        </w:tc>
        <w:tc>
          <w:tcPr>
            <w:tcW w:type="dxa" w:w="851"/>
            <w:shd w:fill="1F4E79"/>
            <w:vAlign w:val="center"/>
          </w:tcPr>
          <w:p>
            <w:r>
              <w:rPr>
                <w:color w:val="FFFFFF"/>
              </w:rPr>
              <w:t>Accuracy</w:t>
            </w:r>
          </w:p>
        </w:tc>
        <w:tc>
          <w:tcPr>
            <w:tcW w:type="dxa" w:w="851"/>
            <w:shd w:fill="1F4E79"/>
            <w:vAlign w:val="center"/>
          </w:tcPr>
          <w:p>
            <w:r>
              <w:rPr>
                <w:color w:val="FFFFFF"/>
              </w:rPr>
              <w:t>Precision</w:t>
            </w:r>
          </w:p>
        </w:tc>
        <w:tc>
          <w:tcPr>
            <w:tcW w:type="dxa" w:w="851"/>
            <w:shd w:fill="1F4E79"/>
            <w:vAlign w:val="center"/>
          </w:tcPr>
          <w:p>
            <w:r>
              <w:rPr>
                <w:color w:val="FFFFFF"/>
              </w:rPr>
              <w:t>Recall</w:t>
            </w:r>
          </w:p>
        </w:tc>
        <w:tc>
          <w:tcPr>
            <w:tcW w:type="dxa" w:w="851"/>
            <w:shd w:fill="1F4E79"/>
            <w:vAlign w:val="center"/>
          </w:tcPr>
          <w:p>
            <w:r>
              <w:rPr>
                <w:color w:val="FFFFFF"/>
              </w:rPr>
              <w:t>Specificity</w:t>
            </w:r>
          </w:p>
        </w:tc>
        <w:tc>
          <w:tcPr>
            <w:tcW w:type="dxa" w:w="851"/>
            <w:shd w:fill="1F4E79"/>
            <w:vAlign w:val="center"/>
          </w:tcPr>
          <w:p>
            <w:r>
              <w:rPr>
                <w:color w:val="FFFFFF"/>
              </w:rPr>
              <w:t>F1 Score</w:t>
            </w:r>
          </w:p>
        </w:tc>
        <w:tc>
          <w:tcPr>
            <w:tcW w:type="dxa" w:w="851"/>
            <w:shd w:fill="1F4E79"/>
            <w:vAlign w:val="center"/>
          </w:tcPr>
          <w:p>
            <w:r>
              <w:rPr>
                <w:color w:val="FFFFFF"/>
              </w:rPr>
              <w:t>ROC-AUC</w:t>
            </w:r>
          </w:p>
        </w:tc>
        <w:tc>
          <w:tcPr>
            <w:tcW w:type="dxa" w:w="851"/>
            <w:shd w:fill="1F4E79"/>
            <w:vAlign w:val="center"/>
          </w:tcPr>
          <w:p>
            <w:r>
              <w:rPr>
                <w:color w:val="FFFFFF"/>
              </w:rPr>
              <w:t>True Negatives</w:t>
            </w:r>
          </w:p>
        </w:tc>
        <w:tc>
          <w:tcPr>
            <w:tcW w:type="dxa" w:w="851"/>
            <w:shd w:fill="1F4E79"/>
            <w:vAlign w:val="center"/>
          </w:tcPr>
          <w:p>
            <w:r>
              <w:rPr>
                <w:color w:val="FFFFFF"/>
              </w:rPr>
              <w:t>False Positives</w:t>
            </w:r>
          </w:p>
        </w:tc>
        <w:tc>
          <w:tcPr>
            <w:tcW w:type="dxa" w:w="851"/>
            <w:shd w:fill="1F4E79"/>
            <w:vAlign w:val="center"/>
          </w:tcPr>
          <w:p>
            <w:r>
              <w:rPr>
                <w:color w:val="FFFFFF"/>
              </w:rPr>
              <w:t>False Negatives</w:t>
            </w:r>
          </w:p>
        </w:tc>
        <w:tc>
          <w:tcPr>
            <w:tcW w:type="dxa" w:w="851"/>
            <w:shd w:fill="1F4E79"/>
            <w:vAlign w:val="center"/>
          </w:tcPr>
          <w:p>
            <w:r>
              <w:rPr>
                <w:color w:val="FFFFFF"/>
              </w:rPr>
              <w:t>True Positives</w:t>
            </w:r>
          </w:p>
        </w:tc>
      </w:tr>
      <w:tr>
        <w:tc>
          <w:tcPr>
            <w:tcW w:type="dxa" w:w="851"/>
            <w:vAlign w:val="center"/>
          </w:tcPr>
          <w:p>
            <w:r>
              <w:t>Gradient Boosting</w:t>
            </w:r>
          </w:p>
        </w:tc>
        <w:tc>
          <w:tcPr>
            <w:tcW w:type="dxa" w:w="851"/>
            <w:vAlign w:val="center"/>
          </w:tcPr>
          <w:p>
            <w:r>
              <w:t>0.7512</w:t>
            </w:r>
          </w:p>
        </w:tc>
        <w:tc>
          <w:tcPr>
            <w:tcW w:type="dxa" w:w="851"/>
            <w:vAlign w:val="center"/>
          </w:tcPr>
          <w:p>
            <w:r>
              <w:t>0.7306</w:t>
            </w:r>
          </w:p>
        </w:tc>
        <w:tc>
          <w:tcPr>
            <w:tcW w:type="dxa" w:w="851"/>
            <w:vAlign w:val="center"/>
          </w:tcPr>
          <w:p>
            <w:r>
              <w:t>0.7957</w:t>
            </w:r>
          </w:p>
        </w:tc>
        <w:tc>
          <w:tcPr>
            <w:tcW w:type="dxa" w:w="851"/>
            <w:vAlign w:val="center"/>
          </w:tcPr>
          <w:p>
            <w:r>
              <w:t>0.7066</w:t>
            </w:r>
          </w:p>
        </w:tc>
        <w:tc>
          <w:tcPr>
            <w:tcW w:type="dxa" w:w="851"/>
            <w:vAlign w:val="center"/>
          </w:tcPr>
          <w:p>
            <w:r>
              <w:t>0.7618</w:t>
            </w:r>
          </w:p>
        </w:tc>
        <w:tc>
          <w:tcPr>
            <w:tcW w:type="dxa" w:w="851"/>
            <w:vAlign w:val="center"/>
          </w:tcPr>
          <w:p>
            <w:r>
              <w:t>0.8287</w:t>
            </w:r>
          </w:p>
        </w:tc>
        <w:tc>
          <w:tcPr>
            <w:tcW w:type="dxa" w:w="851"/>
            <w:vAlign w:val="center"/>
          </w:tcPr>
          <w:p>
            <w:r>
              <w:t>7493</w:t>
            </w:r>
          </w:p>
        </w:tc>
        <w:tc>
          <w:tcPr>
            <w:tcW w:type="dxa" w:w="851"/>
            <w:vAlign w:val="center"/>
          </w:tcPr>
          <w:p>
            <w:r>
              <w:t>3111</w:t>
            </w:r>
          </w:p>
        </w:tc>
        <w:tc>
          <w:tcPr>
            <w:tcW w:type="dxa" w:w="851"/>
            <w:vAlign w:val="center"/>
          </w:tcPr>
          <w:p>
            <w:r>
              <w:t>2166</w:t>
            </w:r>
          </w:p>
        </w:tc>
        <w:tc>
          <w:tcPr>
            <w:tcW w:type="dxa" w:w="851"/>
            <w:vAlign w:val="center"/>
          </w:tcPr>
          <w:p>
            <w:r>
              <w:t>8438</w:t>
            </w:r>
          </w:p>
        </w:tc>
      </w:tr>
      <w:tr>
        <w:tc>
          <w:tcPr>
            <w:tcW w:type="dxa" w:w="851"/>
            <w:vAlign w:val="center"/>
          </w:tcPr>
          <w:p>
            <w:r>
              <w:t>Random Forest</w:t>
            </w:r>
          </w:p>
        </w:tc>
        <w:tc>
          <w:tcPr>
            <w:tcW w:type="dxa" w:w="851"/>
            <w:vAlign w:val="center"/>
          </w:tcPr>
          <w:p>
            <w:r>
              <w:t>0.7487</w:t>
            </w:r>
          </w:p>
        </w:tc>
        <w:tc>
          <w:tcPr>
            <w:tcW w:type="dxa" w:w="851"/>
            <w:vAlign w:val="center"/>
          </w:tcPr>
          <w:p>
            <w:r>
              <w:t>0.7256</w:t>
            </w:r>
          </w:p>
        </w:tc>
        <w:tc>
          <w:tcPr>
            <w:tcW w:type="dxa" w:w="851"/>
            <w:vAlign w:val="center"/>
          </w:tcPr>
          <w:p>
            <w:r>
              <w:t>0.7999</w:t>
            </w:r>
          </w:p>
        </w:tc>
        <w:tc>
          <w:tcPr>
            <w:tcW w:type="dxa" w:w="851"/>
            <w:vAlign w:val="center"/>
          </w:tcPr>
          <w:p>
            <w:r>
              <w:t>0.6975</w:t>
            </w:r>
          </w:p>
        </w:tc>
        <w:tc>
          <w:tcPr>
            <w:tcW w:type="dxa" w:w="851"/>
            <w:vAlign w:val="center"/>
          </w:tcPr>
          <w:p>
            <w:r>
              <w:t>0.7609</w:t>
            </w:r>
          </w:p>
        </w:tc>
        <w:tc>
          <w:tcPr>
            <w:tcW w:type="dxa" w:w="851"/>
            <w:vAlign w:val="center"/>
          </w:tcPr>
          <w:p>
            <w:r>
              <w:t>0.8261</w:t>
            </w:r>
          </w:p>
        </w:tc>
        <w:tc>
          <w:tcPr>
            <w:tcW w:type="dxa" w:w="851"/>
            <w:vAlign w:val="center"/>
          </w:tcPr>
          <w:p>
            <w:r>
              <w:t>7396</w:t>
            </w:r>
          </w:p>
        </w:tc>
        <w:tc>
          <w:tcPr>
            <w:tcW w:type="dxa" w:w="851"/>
            <w:vAlign w:val="center"/>
          </w:tcPr>
          <w:p>
            <w:r>
              <w:t>3208</w:t>
            </w:r>
          </w:p>
        </w:tc>
        <w:tc>
          <w:tcPr>
            <w:tcW w:type="dxa" w:w="851"/>
            <w:vAlign w:val="center"/>
          </w:tcPr>
          <w:p>
            <w:r>
              <w:t>2122</w:t>
            </w:r>
          </w:p>
        </w:tc>
        <w:tc>
          <w:tcPr>
            <w:tcW w:type="dxa" w:w="851"/>
            <w:vAlign w:val="center"/>
          </w:tcPr>
          <w:p>
            <w:r>
              <w:t>8482</w:t>
            </w:r>
          </w:p>
        </w:tc>
      </w:tr>
      <w:tr>
        <w:tc>
          <w:tcPr>
            <w:tcW w:type="dxa" w:w="851"/>
            <w:vAlign w:val="center"/>
          </w:tcPr>
          <w:p>
            <w:r>
              <w:t>Logistic Regression</w:t>
            </w:r>
          </w:p>
        </w:tc>
        <w:tc>
          <w:tcPr>
            <w:tcW w:type="dxa" w:w="851"/>
            <w:vAlign w:val="center"/>
          </w:tcPr>
          <w:p>
            <w:r>
              <w:t>0.7485</w:t>
            </w:r>
          </w:p>
        </w:tc>
        <w:tc>
          <w:tcPr>
            <w:tcW w:type="dxa" w:w="851"/>
            <w:vAlign w:val="center"/>
          </w:tcPr>
          <w:p>
            <w:r>
              <w:t>0.7376</w:t>
            </w:r>
          </w:p>
        </w:tc>
        <w:tc>
          <w:tcPr>
            <w:tcW w:type="dxa" w:w="851"/>
            <w:vAlign w:val="center"/>
          </w:tcPr>
          <w:p>
            <w:r>
              <w:t>0.7716</w:t>
            </w:r>
          </w:p>
        </w:tc>
        <w:tc>
          <w:tcPr>
            <w:tcW w:type="dxa" w:w="851"/>
            <w:vAlign w:val="center"/>
          </w:tcPr>
          <w:p>
            <w:r>
              <w:t>0.7255</w:t>
            </w:r>
          </w:p>
        </w:tc>
        <w:tc>
          <w:tcPr>
            <w:tcW w:type="dxa" w:w="851"/>
            <w:vAlign w:val="center"/>
          </w:tcPr>
          <w:p>
            <w:r>
              <w:t>0.7542</w:t>
            </w:r>
          </w:p>
        </w:tc>
        <w:tc>
          <w:tcPr>
            <w:tcW w:type="dxa" w:w="851"/>
            <w:vAlign w:val="center"/>
          </w:tcPr>
          <w:p>
            <w:r>
              <w:t>0.8240</w:t>
            </w:r>
          </w:p>
        </w:tc>
        <w:tc>
          <w:tcPr>
            <w:tcW w:type="dxa" w:w="851"/>
            <w:vAlign w:val="center"/>
          </w:tcPr>
          <w:p>
            <w:r>
              <w:t>7693</w:t>
            </w:r>
          </w:p>
        </w:tc>
        <w:tc>
          <w:tcPr>
            <w:tcW w:type="dxa" w:w="851"/>
            <w:vAlign w:val="center"/>
          </w:tcPr>
          <w:p>
            <w:r>
              <w:t>2911</w:t>
            </w:r>
          </w:p>
        </w:tc>
        <w:tc>
          <w:tcPr>
            <w:tcW w:type="dxa" w:w="851"/>
            <w:vAlign w:val="center"/>
          </w:tcPr>
          <w:p>
            <w:r>
              <w:t>2422</w:t>
            </w:r>
          </w:p>
        </w:tc>
        <w:tc>
          <w:tcPr>
            <w:tcW w:type="dxa" w:w="851"/>
            <w:vAlign w:val="center"/>
          </w:tcPr>
          <w:p>
            <w:r>
              <w:t>8182</w:t>
            </w:r>
          </w:p>
        </w:tc>
      </w:tr>
      <w:tr>
        <w:tc>
          <w:tcPr>
            <w:tcW w:type="dxa" w:w="851"/>
            <w:vAlign w:val="center"/>
          </w:tcPr>
          <w:p>
            <w:r>
              <w:t>Decision Tree</w:t>
            </w:r>
          </w:p>
        </w:tc>
        <w:tc>
          <w:tcPr>
            <w:tcW w:type="dxa" w:w="851"/>
            <w:vAlign w:val="center"/>
          </w:tcPr>
          <w:p>
            <w:r>
              <w:t>0.7408</w:t>
            </w:r>
          </w:p>
        </w:tc>
        <w:tc>
          <w:tcPr>
            <w:tcW w:type="dxa" w:w="851"/>
            <w:vAlign w:val="center"/>
          </w:tcPr>
          <w:p>
            <w:r>
              <w:t>0.7206</w:t>
            </w:r>
          </w:p>
        </w:tc>
        <w:tc>
          <w:tcPr>
            <w:tcW w:type="dxa" w:w="851"/>
            <w:vAlign w:val="center"/>
          </w:tcPr>
          <w:p>
            <w:r>
              <w:t>0.7865</w:t>
            </w:r>
          </w:p>
        </w:tc>
        <w:tc>
          <w:tcPr>
            <w:tcW w:type="dxa" w:w="851"/>
            <w:vAlign w:val="center"/>
          </w:tcPr>
          <w:p>
            <w:r>
              <w:t>0.6951</w:t>
            </w:r>
          </w:p>
        </w:tc>
        <w:tc>
          <w:tcPr>
            <w:tcW w:type="dxa" w:w="851"/>
            <w:vAlign w:val="center"/>
          </w:tcPr>
          <w:p>
            <w:r>
              <w:t>0.7521</w:t>
            </w:r>
          </w:p>
        </w:tc>
        <w:tc>
          <w:tcPr>
            <w:tcW w:type="dxa" w:w="851"/>
            <w:vAlign w:val="center"/>
          </w:tcPr>
          <w:p>
            <w:r>
              <w:t>0.8155</w:t>
            </w:r>
          </w:p>
        </w:tc>
        <w:tc>
          <w:tcPr>
            <w:tcW w:type="dxa" w:w="851"/>
            <w:vAlign w:val="center"/>
          </w:tcPr>
          <w:p>
            <w:r>
              <w:t>7371</w:t>
            </w:r>
          </w:p>
        </w:tc>
        <w:tc>
          <w:tcPr>
            <w:tcW w:type="dxa" w:w="851"/>
            <w:vAlign w:val="center"/>
          </w:tcPr>
          <w:p>
            <w:r>
              <w:t>3233</w:t>
            </w:r>
          </w:p>
        </w:tc>
        <w:tc>
          <w:tcPr>
            <w:tcW w:type="dxa" w:w="851"/>
            <w:vAlign w:val="center"/>
          </w:tcPr>
          <w:p>
            <w:r>
              <w:t>2264</w:t>
            </w:r>
          </w:p>
        </w:tc>
        <w:tc>
          <w:tcPr>
            <w:tcW w:type="dxa" w:w="851"/>
            <w:vAlign w:val="center"/>
          </w:tcPr>
          <w:p>
            <w:r>
              <w:t>8340</w:t>
            </w:r>
          </w:p>
        </w:tc>
      </w:tr>
    </w:tbl>
    <w:p/>
    <w:p>
      <w:r>
        <w:drawing>
          <wp:inline xmlns:a="http://schemas.openxmlformats.org/drawingml/2006/main" xmlns:pic="http://schemas.openxmlformats.org/drawingml/2006/picture">
            <wp:extent cx="5669280" cy="4324445"/>
            <wp:docPr id="5" name="Picture 5"/>
            <wp:cNvGraphicFramePr>
              <a:graphicFrameLocks noChangeAspect="1"/>
            </wp:cNvGraphicFramePr>
            <a:graphic>
              <a:graphicData uri="http://schemas.openxmlformats.org/drawingml/2006/picture">
                <pic:pic>
                  <pic:nvPicPr>
                    <pic:cNvPr id="0" name="figure_6_roc_curves.png"/>
                    <pic:cNvPicPr/>
                  </pic:nvPicPr>
                  <pic:blipFill>
                    <a:blip r:embed="rId13"/>
                    <a:stretch>
                      <a:fillRect/>
                    </a:stretch>
                  </pic:blipFill>
                  <pic:spPr>
                    <a:xfrm>
                      <a:off x="0" y="0"/>
                      <a:ext cx="5669280" cy="4324445"/>
                    </a:xfrm>
                    <a:prstGeom prst="rect"/>
                  </pic:spPr>
                </pic:pic>
              </a:graphicData>
            </a:graphic>
          </wp:inline>
        </w:drawing>
      </w:r>
    </w:p>
    <w:p>
      <w:pPr>
        <w:pStyle w:val="Caption"/>
      </w:pPr>
      <w:r>
        <w:t>Figure 5. ROC Curve Comparison</w:t>
      </w:r>
    </w:p>
    <w:p>
      <w:pPr>
        <w:pStyle w:val="Heading1"/>
      </w:pPr>
      <w:r>
        <w:t>Model Evaluation</w:t>
      </w:r>
    </w:p>
    <w:p>
      <w:r>
        <w:t>Gradient Boosting produced the strongest overall ROC-AUC score at 0.8287, with an accuracy of 0.7512, precision of 0.7306, recall of 0.7957, and F1-score of 0.7618. Random Forest performed nearly as well, with a ROC-AUC of 0.8261, accuracy of 0.7487, recall of 0.7999, and F1-score of 0.7609. Logistic Regression also performed strongly with a ROC-AUC of 0.8240 and offered greater interpretability. Decision Tree had the lowest ROC-AUC at 0.8155 but remained useful for explaining high-level decision patterns.</w:t>
      </w:r>
    </w:p>
    <w:p>
      <w:r>
        <w:t>The preferred model for deployment is Gradient Boosting because it achieved the strongest ROC-AUC and balanced recall with overall predictive accuracy. However, Random Forest is also recommended as a practical alternative because it produced similar predictive performance while offering clear feature-importance rankings that are easy to explain to healthcare stakeholders.</w:t>
      </w:r>
    </w:p>
    <w:p>
      <w:pPr>
        <w:pStyle w:val="Heading2"/>
      </w:pPr>
      <w:r>
        <w:t>Feature Importance and Key Predictors</w:t>
      </w:r>
    </w:p>
    <w:p>
      <w:r>
        <w:rPr>
          <w:b/>
        </w:rPr>
        <w:t>Table 7. Top Predictors of Diabetes</w:t>
      </w:r>
    </w:p>
    <w:tbl>
      <w:tblPr>
        <w:tblStyle w:val="TableGrid"/>
        <w:tblW w:type="auto" w:w="0"/>
        <w:jc w:val="center"/>
        <w:tblLook w:firstColumn="1" w:firstRow="1" w:lastColumn="0" w:lastRow="0" w:noHBand="0" w:noVBand="1" w:val="04A0"/>
      </w:tblPr>
      <w:tblGrid>
        <w:gridCol w:w="4680"/>
        <w:gridCol w:w="4680"/>
      </w:tblGrid>
      <w:tr>
        <w:tc>
          <w:tcPr>
            <w:tcW w:type="dxa" w:w="4680"/>
            <w:shd w:fill="1F4E79"/>
            <w:vAlign w:val="center"/>
          </w:tcPr>
          <w:p>
            <w:r>
              <w:rPr>
                <w:color w:val="FFFFFF"/>
              </w:rPr>
              <w:t>Feature</w:t>
            </w:r>
          </w:p>
        </w:tc>
        <w:tc>
          <w:tcPr>
            <w:tcW w:type="dxa" w:w="4680"/>
            <w:shd w:fill="1F4E79"/>
            <w:vAlign w:val="center"/>
          </w:tcPr>
          <w:p>
            <w:r>
              <w:rPr>
                <w:color w:val="FFFFFF"/>
              </w:rPr>
              <w:t>Importance</w:t>
            </w:r>
          </w:p>
        </w:tc>
      </w:tr>
      <w:tr>
        <w:tc>
          <w:tcPr>
            <w:tcW w:type="dxa" w:w="4680"/>
            <w:vAlign w:val="center"/>
          </w:tcPr>
          <w:p>
            <w:r>
              <w:t>GenHlth</w:t>
            </w:r>
          </w:p>
        </w:tc>
        <w:tc>
          <w:tcPr>
            <w:tcW w:type="dxa" w:w="4680"/>
            <w:vAlign w:val="center"/>
          </w:tcPr>
          <w:p>
            <w:r>
              <w:t>0.2279</w:t>
            </w:r>
          </w:p>
        </w:tc>
      </w:tr>
      <w:tr>
        <w:tc>
          <w:tcPr>
            <w:tcW w:type="dxa" w:w="4680"/>
            <w:vAlign w:val="center"/>
          </w:tcPr>
          <w:p>
            <w:r>
              <w:t>HighBP</w:t>
            </w:r>
          </w:p>
        </w:tc>
        <w:tc>
          <w:tcPr>
            <w:tcW w:type="dxa" w:w="4680"/>
            <w:vAlign w:val="center"/>
          </w:tcPr>
          <w:p>
            <w:r>
              <w:t>0.2219</w:t>
            </w:r>
          </w:p>
        </w:tc>
      </w:tr>
      <w:tr>
        <w:tc>
          <w:tcPr>
            <w:tcW w:type="dxa" w:w="4680"/>
            <w:vAlign w:val="center"/>
          </w:tcPr>
          <w:p>
            <w:r>
              <w:t>BMI</w:t>
            </w:r>
          </w:p>
        </w:tc>
        <w:tc>
          <w:tcPr>
            <w:tcW w:type="dxa" w:w="4680"/>
            <w:vAlign w:val="center"/>
          </w:tcPr>
          <w:p>
            <w:r>
              <w:t>0.1410</w:t>
            </w:r>
          </w:p>
        </w:tc>
      </w:tr>
      <w:tr>
        <w:tc>
          <w:tcPr>
            <w:tcW w:type="dxa" w:w="4680"/>
            <w:vAlign w:val="center"/>
          </w:tcPr>
          <w:p>
            <w:r>
              <w:t>HighChol</w:t>
            </w:r>
          </w:p>
        </w:tc>
        <w:tc>
          <w:tcPr>
            <w:tcW w:type="dxa" w:w="4680"/>
            <w:vAlign w:val="center"/>
          </w:tcPr>
          <w:p>
            <w:r>
              <w:t>0.1034</w:t>
            </w:r>
          </w:p>
        </w:tc>
      </w:tr>
      <w:tr>
        <w:tc>
          <w:tcPr>
            <w:tcW w:type="dxa" w:w="4680"/>
            <w:vAlign w:val="center"/>
          </w:tcPr>
          <w:p>
            <w:r>
              <w:t>Age</w:t>
            </w:r>
          </w:p>
        </w:tc>
        <w:tc>
          <w:tcPr>
            <w:tcW w:type="dxa" w:w="4680"/>
            <w:vAlign w:val="center"/>
          </w:tcPr>
          <w:p>
            <w:r>
              <w:t>0.0995</w:t>
            </w:r>
          </w:p>
        </w:tc>
      </w:tr>
      <w:tr>
        <w:tc>
          <w:tcPr>
            <w:tcW w:type="dxa" w:w="4680"/>
            <w:vAlign w:val="center"/>
          </w:tcPr>
          <w:p>
            <w:r>
              <w:t>DiffWalk</w:t>
            </w:r>
          </w:p>
        </w:tc>
        <w:tc>
          <w:tcPr>
            <w:tcW w:type="dxa" w:w="4680"/>
            <w:vAlign w:val="center"/>
          </w:tcPr>
          <w:p>
            <w:r>
              <w:t>0.0538</w:t>
            </w:r>
          </w:p>
        </w:tc>
      </w:tr>
      <w:tr>
        <w:tc>
          <w:tcPr>
            <w:tcW w:type="dxa" w:w="4680"/>
            <w:vAlign w:val="center"/>
          </w:tcPr>
          <w:p>
            <w:r>
              <w:t>Income</w:t>
            </w:r>
          </w:p>
        </w:tc>
        <w:tc>
          <w:tcPr>
            <w:tcW w:type="dxa" w:w="4680"/>
            <w:vAlign w:val="center"/>
          </w:tcPr>
          <w:p>
            <w:r>
              <w:t>0.0309</w:t>
            </w:r>
          </w:p>
        </w:tc>
      </w:tr>
      <w:tr>
        <w:tc>
          <w:tcPr>
            <w:tcW w:type="dxa" w:w="4680"/>
            <w:vAlign w:val="center"/>
          </w:tcPr>
          <w:p>
            <w:r>
              <w:t>HeartDiseaseorAttack</w:t>
            </w:r>
          </w:p>
        </w:tc>
        <w:tc>
          <w:tcPr>
            <w:tcW w:type="dxa" w:w="4680"/>
            <w:vAlign w:val="center"/>
          </w:tcPr>
          <w:p>
            <w:r>
              <w:t>0.0281</w:t>
            </w:r>
          </w:p>
        </w:tc>
      </w:tr>
      <w:tr>
        <w:tc>
          <w:tcPr>
            <w:tcW w:type="dxa" w:w="4680"/>
            <w:vAlign w:val="center"/>
          </w:tcPr>
          <w:p>
            <w:r>
              <w:t>PhysHlth</w:t>
            </w:r>
          </w:p>
        </w:tc>
        <w:tc>
          <w:tcPr>
            <w:tcW w:type="dxa" w:w="4680"/>
            <w:vAlign w:val="center"/>
          </w:tcPr>
          <w:p>
            <w:r>
              <w:t>0.0260</w:t>
            </w:r>
          </w:p>
        </w:tc>
      </w:tr>
      <w:tr>
        <w:tc>
          <w:tcPr>
            <w:tcW w:type="dxa" w:w="4680"/>
            <w:vAlign w:val="center"/>
          </w:tcPr>
          <w:p>
            <w:r>
              <w:t>Education</w:t>
            </w:r>
          </w:p>
        </w:tc>
        <w:tc>
          <w:tcPr>
            <w:tcW w:type="dxa" w:w="4680"/>
            <w:vAlign w:val="center"/>
          </w:tcPr>
          <w:p>
            <w:r>
              <w:t>0.0127</w:t>
            </w:r>
          </w:p>
        </w:tc>
      </w:tr>
    </w:tbl>
    <w:p/>
    <w:p>
      <w:r>
        <w:drawing>
          <wp:inline xmlns:a="http://schemas.openxmlformats.org/drawingml/2006/main" xmlns:pic="http://schemas.openxmlformats.org/drawingml/2006/picture">
            <wp:extent cx="5669280" cy="3306294"/>
            <wp:docPr id="6" name="Picture 6"/>
            <wp:cNvGraphicFramePr>
              <a:graphicFrameLocks noChangeAspect="1"/>
            </wp:cNvGraphicFramePr>
            <a:graphic>
              <a:graphicData uri="http://schemas.openxmlformats.org/drawingml/2006/picture">
                <pic:pic>
                  <pic:nvPicPr>
                    <pic:cNvPr id="0" name="figure_5_feature_importance.png"/>
                    <pic:cNvPicPr/>
                  </pic:nvPicPr>
                  <pic:blipFill>
                    <a:blip r:embed="rId14"/>
                    <a:stretch>
                      <a:fillRect/>
                    </a:stretch>
                  </pic:blipFill>
                  <pic:spPr>
                    <a:xfrm>
                      <a:off x="0" y="0"/>
                      <a:ext cx="5669280" cy="3306294"/>
                    </a:xfrm>
                    <a:prstGeom prst="rect"/>
                  </pic:spPr>
                </pic:pic>
              </a:graphicData>
            </a:graphic>
          </wp:inline>
        </w:drawing>
      </w:r>
    </w:p>
    <w:p>
      <w:pPr>
        <w:pStyle w:val="Caption"/>
      </w:pPr>
      <w:r>
        <w:t>Figure 6. Random Forest Feature Importance</w:t>
      </w:r>
    </w:p>
    <w:p>
      <w:r>
        <w:t>The most important predictors were general health, high blood pressure, BMI, high cholesterol, age, difficulty walking, income, heart disease or attack, physical health days, and education. These results are consistent with the business problem because they identify measurable health and demographic indicators that can be used to prioritize preventive interventions.</w:t>
      </w:r>
    </w:p>
    <w:p>
      <w:pPr>
        <w:pStyle w:val="Heading2"/>
      </w:pPr>
      <w:r>
        <w:t>Risk Segmentation</w:t>
      </w:r>
    </w:p>
    <w:p>
      <w:r>
        <w:rPr>
          <w:b/>
        </w:rPr>
        <w:t>Table 8. Risk Segmentation Results</w:t>
      </w:r>
    </w:p>
    <w:tbl>
      <w:tblPr>
        <w:tblStyle w:val="TableGrid"/>
        <w:tblW w:type="auto" w:w="0"/>
        <w:jc w:val="center"/>
        <w:tblLook w:firstColumn="1" w:firstRow="1" w:lastColumn="0" w:lastRow="0" w:noHBand="0" w:noVBand="1" w:val="04A0"/>
      </w:tblPr>
      <w:tblGrid>
        <w:gridCol w:w="2340"/>
        <w:gridCol w:w="2340"/>
        <w:gridCol w:w="2340"/>
        <w:gridCol w:w="2340"/>
      </w:tblGrid>
      <w:tr>
        <w:tc>
          <w:tcPr>
            <w:tcW w:type="dxa" w:w="2340"/>
            <w:shd w:fill="1F4E79"/>
            <w:vAlign w:val="center"/>
          </w:tcPr>
          <w:p>
            <w:r>
              <w:rPr>
                <w:color w:val="FFFFFF"/>
              </w:rPr>
              <w:t>Risk Segment</w:t>
            </w:r>
          </w:p>
        </w:tc>
        <w:tc>
          <w:tcPr>
            <w:tcW w:type="dxa" w:w="2340"/>
            <w:shd w:fill="1F4E79"/>
            <w:vAlign w:val="center"/>
          </w:tcPr>
          <w:p>
            <w:r>
              <w:rPr>
                <w:color w:val="FFFFFF"/>
              </w:rPr>
              <w:t>Records</w:t>
            </w:r>
          </w:p>
        </w:tc>
        <w:tc>
          <w:tcPr>
            <w:tcW w:type="dxa" w:w="2340"/>
            <w:shd w:fill="1F4E79"/>
            <w:vAlign w:val="center"/>
          </w:tcPr>
          <w:p>
            <w:r>
              <w:rPr>
                <w:color w:val="FFFFFF"/>
              </w:rPr>
              <w:t>Observed Diabetes Rate</w:t>
            </w:r>
          </w:p>
        </w:tc>
        <w:tc>
          <w:tcPr>
            <w:tcW w:type="dxa" w:w="2340"/>
            <w:shd w:fill="1F4E79"/>
            <w:vAlign w:val="center"/>
          </w:tcPr>
          <w:p>
            <w:r>
              <w:rPr>
                <w:color w:val="FFFFFF"/>
              </w:rPr>
              <w:t>Observed Diabetes Rate %</w:t>
            </w:r>
          </w:p>
        </w:tc>
      </w:tr>
      <w:tr>
        <w:tc>
          <w:tcPr>
            <w:tcW w:type="dxa" w:w="2340"/>
            <w:vAlign w:val="center"/>
          </w:tcPr>
          <w:p>
            <w:r>
              <w:t>Very Low</w:t>
            </w:r>
          </w:p>
        </w:tc>
        <w:tc>
          <w:tcPr>
            <w:tcW w:type="dxa" w:w="2340"/>
            <w:vAlign w:val="center"/>
          </w:tcPr>
          <w:p>
            <w:r>
              <w:t>4242</w:t>
            </w:r>
          </w:p>
        </w:tc>
        <w:tc>
          <w:tcPr>
            <w:tcW w:type="dxa" w:w="2340"/>
            <w:vAlign w:val="center"/>
          </w:tcPr>
          <w:p>
            <w:r>
              <w:t>0.0736</w:t>
            </w:r>
          </w:p>
        </w:tc>
        <w:tc>
          <w:tcPr>
            <w:tcW w:type="dxa" w:w="2340"/>
            <w:vAlign w:val="center"/>
          </w:tcPr>
          <w:p>
            <w:r>
              <w:t>7.36</w:t>
            </w:r>
          </w:p>
        </w:tc>
      </w:tr>
      <w:tr>
        <w:tc>
          <w:tcPr>
            <w:tcW w:type="dxa" w:w="2340"/>
            <w:vAlign w:val="center"/>
          </w:tcPr>
          <w:p>
            <w:r>
              <w:t>Low</w:t>
            </w:r>
          </w:p>
        </w:tc>
        <w:tc>
          <w:tcPr>
            <w:tcW w:type="dxa" w:w="2340"/>
            <w:vAlign w:val="center"/>
          </w:tcPr>
          <w:p>
            <w:r>
              <w:t>4241</w:t>
            </w:r>
          </w:p>
        </w:tc>
        <w:tc>
          <w:tcPr>
            <w:tcW w:type="dxa" w:w="2340"/>
            <w:vAlign w:val="center"/>
          </w:tcPr>
          <w:p>
            <w:r>
              <w:t>0.2983</w:t>
            </w:r>
          </w:p>
        </w:tc>
        <w:tc>
          <w:tcPr>
            <w:tcW w:type="dxa" w:w="2340"/>
            <w:vAlign w:val="center"/>
          </w:tcPr>
          <w:p>
            <w:r>
              <w:t>29.83</w:t>
            </w:r>
          </w:p>
        </w:tc>
      </w:tr>
      <w:tr>
        <w:tc>
          <w:tcPr>
            <w:tcW w:type="dxa" w:w="2340"/>
            <w:vAlign w:val="center"/>
          </w:tcPr>
          <w:p>
            <w:r>
              <w:t>Moderate</w:t>
            </w:r>
          </w:p>
        </w:tc>
        <w:tc>
          <w:tcPr>
            <w:tcW w:type="dxa" w:w="2340"/>
            <w:vAlign w:val="center"/>
          </w:tcPr>
          <w:p>
            <w:r>
              <w:t>4242</w:t>
            </w:r>
          </w:p>
        </w:tc>
        <w:tc>
          <w:tcPr>
            <w:tcW w:type="dxa" w:w="2340"/>
            <w:vAlign w:val="center"/>
          </w:tcPr>
          <w:p>
            <w:r>
              <w:t>0.5514</w:t>
            </w:r>
          </w:p>
        </w:tc>
        <w:tc>
          <w:tcPr>
            <w:tcW w:type="dxa" w:w="2340"/>
            <w:vAlign w:val="center"/>
          </w:tcPr>
          <w:p>
            <w:r>
              <w:t>55.14</w:t>
            </w:r>
          </w:p>
        </w:tc>
      </w:tr>
      <w:tr>
        <w:tc>
          <w:tcPr>
            <w:tcW w:type="dxa" w:w="2340"/>
            <w:vAlign w:val="center"/>
          </w:tcPr>
          <w:p>
            <w:r>
              <w:t>High</w:t>
            </w:r>
          </w:p>
        </w:tc>
        <w:tc>
          <w:tcPr>
            <w:tcW w:type="dxa" w:w="2340"/>
            <w:vAlign w:val="center"/>
          </w:tcPr>
          <w:p>
            <w:r>
              <w:t>4241</w:t>
            </w:r>
          </w:p>
        </w:tc>
        <w:tc>
          <w:tcPr>
            <w:tcW w:type="dxa" w:w="2340"/>
            <w:vAlign w:val="center"/>
          </w:tcPr>
          <w:p>
            <w:r>
              <w:t>0.7253</w:t>
            </w:r>
          </w:p>
        </w:tc>
        <w:tc>
          <w:tcPr>
            <w:tcW w:type="dxa" w:w="2340"/>
            <w:vAlign w:val="center"/>
          </w:tcPr>
          <w:p>
            <w:r>
              <w:t>72.53</w:t>
            </w:r>
          </w:p>
        </w:tc>
      </w:tr>
      <w:tr>
        <w:tc>
          <w:tcPr>
            <w:tcW w:type="dxa" w:w="2340"/>
            <w:vAlign w:val="center"/>
          </w:tcPr>
          <w:p>
            <w:r>
              <w:t>Very High</w:t>
            </w:r>
          </w:p>
        </w:tc>
        <w:tc>
          <w:tcPr>
            <w:tcW w:type="dxa" w:w="2340"/>
            <w:vAlign w:val="center"/>
          </w:tcPr>
          <w:p>
            <w:r>
              <w:t>4242</w:t>
            </w:r>
          </w:p>
        </w:tc>
        <w:tc>
          <w:tcPr>
            <w:tcW w:type="dxa" w:w="2340"/>
            <w:vAlign w:val="center"/>
          </w:tcPr>
          <w:p>
            <w:r>
              <w:t>0.8515</w:t>
            </w:r>
          </w:p>
        </w:tc>
        <w:tc>
          <w:tcPr>
            <w:tcW w:type="dxa" w:w="2340"/>
            <w:vAlign w:val="center"/>
          </w:tcPr>
          <w:p>
            <w:r>
              <w:t>85.15</w:t>
            </w:r>
          </w:p>
        </w:tc>
      </w:tr>
    </w:tbl>
    <w:p/>
    <w:p>
      <w:r>
        <w:drawing>
          <wp:inline xmlns:a="http://schemas.openxmlformats.org/drawingml/2006/main" xmlns:pic="http://schemas.openxmlformats.org/drawingml/2006/picture">
            <wp:extent cx="5669280" cy="3471471"/>
            <wp:docPr id="7" name="Picture 7"/>
            <wp:cNvGraphicFramePr>
              <a:graphicFrameLocks noChangeAspect="1"/>
            </wp:cNvGraphicFramePr>
            <a:graphic>
              <a:graphicData uri="http://schemas.openxmlformats.org/drawingml/2006/picture">
                <pic:pic>
                  <pic:nvPicPr>
                    <pic:cNvPr id="0" name="figure_7_risk_segments.png"/>
                    <pic:cNvPicPr/>
                  </pic:nvPicPr>
                  <pic:blipFill>
                    <a:blip r:embed="rId15"/>
                    <a:stretch>
                      <a:fillRect/>
                    </a:stretch>
                  </pic:blipFill>
                  <pic:spPr>
                    <a:xfrm>
                      <a:off x="0" y="0"/>
                      <a:ext cx="5669280" cy="3471471"/>
                    </a:xfrm>
                    <a:prstGeom prst="rect"/>
                  </pic:spPr>
                </pic:pic>
              </a:graphicData>
            </a:graphic>
          </wp:inline>
        </w:drawing>
      </w:r>
    </w:p>
    <w:p>
      <w:pPr>
        <w:pStyle w:val="Caption"/>
      </w:pPr>
      <w:r>
        <w:t>Figure 7. Observed Diabetes Rate by Predicted Risk Segment</w:t>
      </w:r>
    </w:p>
    <w:p>
      <w:r>
        <w:t>The risk segmentation analysis shows a clear separation between low-risk and high-risk groups. The very-low-risk segment had an observed diabetes rate of 7.36%, while the very-high-risk segment had an observed diabetes rate of 85.15%. This indicates that the model can support prescriptive analytics by grouping individuals into actionable risk tiers for outreach, screening, and preventive care planning.</w:t>
      </w:r>
    </w:p>
    <w:p>
      <w:pPr>
        <w:pStyle w:val="Heading1"/>
      </w:pPr>
      <w:r>
        <w:t>Evaluation of Risk</w:t>
      </w:r>
    </w:p>
    <w:p>
      <w:r>
        <w:t>The primary implementation risk is misclassification. A false negative occurs when a high-risk individual is predicted as low risk, which may delay intervention. A false positive occurs when a lower-risk individual is incorrectly flagged, which may increase screening costs. For preventive healthcare, false negatives are more serious because they may lead to missed opportunities for early intervention. Therefore, recall and ROC-AUC should be monitored closely during model deployment.</w:t>
      </w:r>
    </w:p>
    <w:p>
      <w:pPr>
        <w:pStyle w:val="Heading2"/>
      </w:pPr>
      <w:r>
        <w:t>Assess Results With Respect to Business Success Criteria</w:t>
      </w:r>
    </w:p>
    <w:p>
      <w:r>
        <w:t>The model meets the business success criteria by identifying individuals who are more likely to have diabetes based on accessible health indicators. The results support preventive outreach by ranking individuals into risk groups. Healthcare organizations could use the high-risk and very-high-risk segments to prioritize diabetes screening, nutrition counseling, physical activity interventions, and follow-up appointments.</w:t>
      </w:r>
    </w:p>
    <w:p>
      <w:pPr>
        <w:pStyle w:val="Heading1"/>
      </w:pPr>
      <w:r>
        <w:t>External Model Verification and Calibration</w:t>
      </w:r>
    </w:p>
    <w:p>
      <w:r>
        <w:t>External validation should be performed using a more recent BRFSS dataset or another population-level healthcare dataset to determine whether the selected model generalizes beyond the 2015 data. Calibration should also be evaluated to ensure that predicted probabilities align with observed diabetes rates. If the model overestimates or underestimates risk, probability calibration methods such as Platt scaling or isotonic regression may be used.</w:t>
      </w:r>
    </w:p>
    <w:p>
      <w:pPr>
        <w:pStyle w:val="Heading2"/>
      </w:pPr>
      <w:r>
        <w:t>Future Recommendations</w:t>
      </w:r>
    </w:p>
    <w:p>
      <w:r>
        <w:t>Future work should evaluate the model using newer BRFSS data, compare performance across demographic subgroups, and assess fairness across age, income, sex, and education groups. Additional predictors such as laboratory results, medication history, family history, and clinical claims data could improve accuracy if available. The model should also be tested prospectively before being used in operational healthcare decision-making.</w:t>
      </w:r>
    </w:p>
    <w:p>
      <w:pPr>
        <w:pStyle w:val="Heading1"/>
      </w:pPr>
      <w:r>
        <w:t>Model Deployment and Model Life Cycle</w:t>
      </w:r>
    </w:p>
    <w:p>
      <w:r>
        <w:t>The recommended deployment strategy is to integrate the model into a healthcare analytics dashboard that scores individuals based on diabetes risk. The dashboard should display risk tier, key contributing factors, and recommended actions. High-risk patients could be referred for diabetes screening, nutrition education, physical activity programs, or follow-up care. The model should be retrained annually as new public-health data become available and monitored for drift in performance metrics.</w:t>
      </w:r>
    </w:p>
    <w:p>
      <w:pPr>
        <w:pStyle w:val="Heading2"/>
      </w:pPr>
      <w:r>
        <w:t>Milestones, Training, Cost/Benefit, and Risks</w:t>
      </w:r>
    </w:p>
    <w:p>
      <w:r>
        <w:t>Key milestones include final model approval, dashboard development, staff training, pilot testing, performance monitoring, and full deployment. Costs include analyst time, dashboard development, data storage, and staff training. Benefits include earlier risk identification, improved targeting of preventive services, better allocation of resources, and potential reductions in preventable complications. Main risks include model bias, data quality issues, privacy concerns, and overreliance on model outputs without clinical judgment.</w:t>
      </w:r>
    </w:p>
    <w:p>
      <w:pPr>
        <w:pStyle w:val="Heading1"/>
      </w:pPr>
      <w:r>
        <w:t>Conclusions</w:t>
      </w:r>
    </w:p>
    <w:p>
      <w:r>
        <w:t>This capstone project demonstrated that predictive analytics can support diabetes risk identification using BRFSS health indicators. Gradient Boosting achieved the strongest model performance, while Random Forest provided strong predictive power and clear feature interpretability. The most important predictors were general health, high blood pressure, BMI, high cholesterol, age, and difficulty walking. The risk segmentation results showed that predicted probabilities can be converted into actionable risk tiers, supporting preventive screening and healthcare resource allocation. Overall, the analysis supports the use of predictive and prescriptive analytics to improve early diabetes risk identification and strengthen preventive healthcare planning.</w:t>
      </w:r>
    </w:p>
    <w:p>
      <w:pPr>
        <w:pStyle w:val="Heading1"/>
      </w:pPr>
      <w:r>
        <w:t>References</w:t>
      </w:r>
    </w:p>
    <w:p>
      <w:pPr>
        <w:ind w:hanging="720" w:left="720"/>
      </w:pPr>
      <w:r>
        <w:t>Centers for Disease Control and Prevention. (2015). 2015 BRFSS survey data and documentation. https://www.cdc.gov/brfss/annual_data/annual_2015.html</w:t>
      </w:r>
    </w:p>
    <w:p>
      <w:pPr>
        <w:ind w:hanging="720" w:left="720"/>
      </w:pPr>
      <w:r>
        <w:t>Centers for Disease Control and Prevention. (n.d.). Behavioral Risk Factor Surveillance System. https://www.cdc.gov/brfss/</w:t>
      </w:r>
    </w:p>
    <w:p>
      <w:pPr>
        <w:ind w:hanging="720" w:left="720"/>
      </w:pPr>
      <w:r>
        <w:t>Teboul, A. (n.d.). Diabetes health indicators dataset. Kaggle. https://www.kaggle.com/datasets/alexteboul/diabetes-health-indicators-dataset</w:t>
      </w:r>
    </w:p>
    <w:p>
      <w:pPr>
        <w:ind w:hanging="720" w:left="720"/>
      </w:pPr>
      <w:r>
        <w:t>UCI Machine Learning Repository. (2023). CDC diabetes health indicators. https://archive.ics.uci.edu/dataset/891/cdc+diabetes+health+indicators</w:t>
      </w:r>
    </w:p>
    <w:p>
      <w:pPr>
        <w:ind w:hanging="720" w:left="720"/>
      </w:pPr>
      <w:r>
        <w:t>Chapman, P., Clinton, J., Kerber, R., Khabaza, T., Reinartz, T., Shearer, C., &amp; Wirth, R. (2000). CRISP-DM 1.0: Step-by-step data mining guide. https://www.the-modeling-agency.com/crisp-dm.pdf</w:t>
      </w:r>
    </w:p>
    <w:p>
      <w:r>
        <w:br w:type="page"/>
      </w:r>
    </w:p>
    <w:p>
      <w:pPr>
        <w:pStyle w:val="Heading1"/>
      </w:pPr>
      <w:r>
        <w:t>Appendix A: Files Produced</w:t>
      </w:r>
    </w:p>
    <w:p>
      <w:r>
        <w:t>dataset_summary.csv</w:t>
      </w:r>
    </w:p>
    <w:p>
      <w:r>
        <w:t>descriptive_statistics.csv</w:t>
      </w:r>
    </w:p>
    <w:p>
      <w:r>
        <w:t>diabetes_distribution.csv</w:t>
      </w:r>
    </w:p>
    <w:p>
      <w:r>
        <w:t>model_performance.csv</w:t>
      </w:r>
    </w:p>
    <w:p>
      <w:r>
        <w:t>random_forest_feature_importance.csv</w:t>
      </w:r>
    </w:p>
    <w:p>
      <w:r>
        <w:t>risk_segments.csv</w:t>
      </w:r>
    </w:p>
    <w:p>
      <w:r>
        <w:t>model_predictions.csv</w:t>
      </w:r>
    </w:p>
    <w:p>
      <w:r>
        <w:t>Diabetes_Capstone_Results_Workbook.xlsx</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1F4E7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1F4E7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Times New Roman" w:hAnsi="Times New Roman"/>
      <w:b/>
      <w:bCs/>
      <w:color w:val="1F4E7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image" Target="media/image2.png"/><Relationship Id="rId11" Type="http://schemas.openxmlformats.org/officeDocument/2006/relationships/image" Target="media/image3.png"/><Relationship Id="rId12" Type="http://schemas.openxmlformats.org/officeDocument/2006/relationships/image" Target="media/image4.png"/><Relationship Id="rId13" Type="http://schemas.openxmlformats.org/officeDocument/2006/relationships/image" Target="media/image5.png"/><Relationship Id="rId14" Type="http://schemas.openxmlformats.org/officeDocument/2006/relationships/image" Target="media/image6.png"/><Relationship Id="rId15"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